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96DF9" w:rsidRPr="00696DF9" w:rsidRDefault="00696DF9" w:rsidP="00696DF9">
      <w:pPr>
        <w:shd w:val="clear" w:color="auto" w:fill="F5F5F5"/>
        <w:spacing w:after="0" w:line="240" w:lineRule="auto"/>
        <w:rPr>
          <w:rFonts w:ascii="Segoe UI" w:eastAsia="Times New Roman" w:hAnsi="Segoe UI" w:cs="Segoe UI"/>
          <w:color w:val="333333"/>
          <w:sz w:val="21"/>
          <w:szCs w:val="21"/>
          <w:lang w:val="es-ES"/>
        </w:rPr>
      </w:pPr>
      <w:r>
        <w:rPr>
          <w:rFonts w:ascii="Segoe UI" w:eastAsia="Times New Roman" w:hAnsi="Segoe UI" w:cs="Segoe UI"/>
          <w:color w:val="333333"/>
          <w:sz w:val="21"/>
          <w:szCs w:val="21"/>
          <w:lang w:val="es-ES"/>
        </w:rPr>
        <w:t>R</w:t>
      </w:r>
      <w:bookmarkStart w:id="0" w:name="_GoBack"/>
      <w:bookmarkEnd w:id="0"/>
      <w:r w:rsidRPr="00696DF9">
        <w:rPr>
          <w:rFonts w:ascii="Segoe UI" w:eastAsia="Times New Roman" w:hAnsi="Segoe UI" w:cs="Segoe UI"/>
          <w:color w:val="333333"/>
          <w:sz w:val="21"/>
          <w:szCs w:val="21"/>
          <w:lang w:val="es-ES"/>
        </w:rPr>
        <w:t>espuestas al test</w:t>
      </w:r>
    </w:p>
    <w:p w:rsidR="00696DF9" w:rsidRPr="00696DF9" w:rsidRDefault="00696DF9" w:rsidP="00696DF9">
      <w:pPr>
        <w:spacing w:before="100" w:beforeAutospacing="1" w:after="100" w:afterAutospacing="1" w:line="360" w:lineRule="atLeast"/>
        <w:jc w:val="both"/>
        <w:rPr>
          <w:rFonts w:ascii="Arial" w:eastAsia="Times New Roman" w:hAnsi="Arial" w:cs="Arial"/>
          <w:b/>
          <w:bCs/>
          <w:color w:val="212529"/>
          <w:sz w:val="26"/>
          <w:szCs w:val="26"/>
          <w:lang w:val="es-ES"/>
        </w:rPr>
      </w:pPr>
      <w:r w:rsidRPr="00696DF9">
        <w:rPr>
          <w:rFonts w:ascii="Arial" w:eastAsia="Times New Roman" w:hAnsi="Arial" w:cs="Arial"/>
          <w:b/>
          <w:bCs/>
          <w:color w:val="212529"/>
          <w:sz w:val="26"/>
          <w:szCs w:val="26"/>
          <w:lang w:val="es-ES"/>
        </w:rPr>
        <w:t>1. Respecto a las lesiones elementales cutáneas, señale la afirmación correcta:</w:t>
      </w:r>
    </w:p>
    <w:p w:rsidR="00696DF9" w:rsidRPr="00696DF9" w:rsidRDefault="00696DF9" w:rsidP="00696DF9">
      <w:pPr>
        <w:numPr>
          <w:ilvl w:val="0"/>
          <w:numId w:val="1"/>
        </w:numPr>
        <w:spacing w:before="100" w:beforeAutospacing="1" w:after="100" w:afterAutospacing="1" w:line="360" w:lineRule="atLeast"/>
        <w:jc w:val="both"/>
        <w:rPr>
          <w:rFonts w:ascii="Segoe UI" w:eastAsia="Times New Roman" w:hAnsi="Segoe UI" w:cs="Segoe UI"/>
          <w:color w:val="212529"/>
          <w:sz w:val="26"/>
          <w:szCs w:val="26"/>
          <w:lang w:val="es-ES"/>
        </w:rPr>
      </w:pPr>
      <w:r w:rsidRPr="00696DF9">
        <w:rPr>
          <w:rFonts w:ascii="Segoe UI" w:eastAsia="Times New Roman" w:hAnsi="Segoe UI" w:cs="Segoe UI"/>
          <w:color w:val="212529"/>
          <w:sz w:val="26"/>
          <w:szCs w:val="26"/>
          <w:lang w:val="es-ES"/>
        </w:rPr>
        <w:t>a) Las lesiones secundarias son las que se producen sobre la piel previamente sana.</w:t>
      </w:r>
    </w:p>
    <w:p w:rsidR="00696DF9" w:rsidRPr="00696DF9" w:rsidRDefault="00696DF9" w:rsidP="00696DF9">
      <w:pPr>
        <w:numPr>
          <w:ilvl w:val="0"/>
          <w:numId w:val="1"/>
        </w:numPr>
        <w:spacing w:before="100" w:beforeAutospacing="1" w:after="100" w:afterAutospacing="1" w:line="360" w:lineRule="atLeast"/>
        <w:jc w:val="both"/>
        <w:rPr>
          <w:rFonts w:ascii="Segoe UI" w:eastAsia="Times New Roman" w:hAnsi="Segoe UI" w:cs="Segoe UI"/>
          <w:color w:val="4DBF32"/>
          <w:sz w:val="26"/>
          <w:szCs w:val="26"/>
          <w:lang w:val="es-ES"/>
        </w:rPr>
      </w:pPr>
      <w:r w:rsidRPr="00696DF9">
        <w:rPr>
          <w:rFonts w:ascii="Segoe UI" w:eastAsia="Times New Roman" w:hAnsi="Segoe UI" w:cs="Segoe UI"/>
          <w:color w:val="4DBF32"/>
          <w:sz w:val="26"/>
          <w:szCs w:val="26"/>
          <w:lang w:val="es-ES"/>
        </w:rPr>
        <w:t>b) Las pápulas son elevaciones sólidas menores de 0,5-1 cm de diámetro.</w:t>
      </w:r>
    </w:p>
    <w:p w:rsidR="00696DF9" w:rsidRPr="00696DF9" w:rsidRDefault="00696DF9" w:rsidP="00696DF9">
      <w:pPr>
        <w:numPr>
          <w:ilvl w:val="0"/>
          <w:numId w:val="1"/>
        </w:numPr>
        <w:spacing w:before="100" w:beforeAutospacing="1" w:after="100" w:afterAutospacing="1" w:line="360" w:lineRule="atLeast"/>
        <w:jc w:val="both"/>
        <w:rPr>
          <w:rFonts w:ascii="Segoe UI" w:eastAsia="Times New Roman" w:hAnsi="Segoe UI" w:cs="Segoe UI"/>
          <w:color w:val="212529"/>
          <w:sz w:val="26"/>
          <w:szCs w:val="26"/>
          <w:lang w:val="es-ES"/>
        </w:rPr>
      </w:pPr>
      <w:r w:rsidRPr="00696DF9">
        <w:rPr>
          <w:rFonts w:ascii="Segoe UI" w:eastAsia="Times New Roman" w:hAnsi="Segoe UI" w:cs="Segoe UI"/>
          <w:color w:val="212529"/>
          <w:sz w:val="26"/>
          <w:szCs w:val="26"/>
          <w:lang w:val="es-ES"/>
        </w:rPr>
        <w:t>c) Los nódulos suelen ser más superficiales que las placas.</w:t>
      </w:r>
    </w:p>
    <w:p w:rsidR="00696DF9" w:rsidRPr="00696DF9" w:rsidRDefault="00696DF9" w:rsidP="00696DF9">
      <w:pPr>
        <w:numPr>
          <w:ilvl w:val="0"/>
          <w:numId w:val="1"/>
        </w:numPr>
        <w:spacing w:before="100" w:beforeAutospacing="1" w:after="100" w:afterAutospacing="1" w:line="360" w:lineRule="atLeast"/>
        <w:jc w:val="both"/>
        <w:rPr>
          <w:rFonts w:ascii="Segoe UI" w:eastAsia="Times New Roman" w:hAnsi="Segoe UI" w:cs="Segoe UI"/>
          <w:color w:val="212529"/>
          <w:sz w:val="26"/>
          <w:szCs w:val="26"/>
          <w:lang w:val="es-ES"/>
        </w:rPr>
      </w:pPr>
      <w:r w:rsidRPr="00696DF9">
        <w:rPr>
          <w:rFonts w:ascii="Segoe UI" w:eastAsia="Times New Roman" w:hAnsi="Segoe UI" w:cs="Segoe UI"/>
          <w:color w:val="212529"/>
          <w:sz w:val="26"/>
          <w:szCs w:val="26"/>
          <w:lang w:val="es-ES"/>
        </w:rPr>
        <w:t>d) Los habones son característicamente de color violáceo.</w:t>
      </w:r>
    </w:p>
    <w:p w:rsidR="00696DF9" w:rsidRPr="00696DF9" w:rsidRDefault="00696DF9" w:rsidP="00696DF9">
      <w:pPr>
        <w:numPr>
          <w:ilvl w:val="0"/>
          <w:numId w:val="1"/>
        </w:numPr>
        <w:spacing w:before="100" w:beforeAutospacing="1" w:after="100" w:afterAutospacing="1" w:line="360" w:lineRule="atLeast"/>
        <w:jc w:val="both"/>
        <w:rPr>
          <w:rFonts w:ascii="Segoe UI" w:eastAsia="Times New Roman" w:hAnsi="Segoe UI" w:cs="Segoe UI"/>
          <w:color w:val="212529"/>
          <w:sz w:val="26"/>
          <w:szCs w:val="26"/>
          <w:lang w:val="es-ES"/>
        </w:rPr>
      </w:pPr>
      <w:r w:rsidRPr="00696DF9">
        <w:rPr>
          <w:rFonts w:ascii="Segoe UI" w:eastAsia="Times New Roman" w:hAnsi="Segoe UI" w:cs="Segoe UI"/>
          <w:color w:val="212529"/>
          <w:sz w:val="26"/>
          <w:szCs w:val="26"/>
          <w:lang w:val="es-ES"/>
        </w:rPr>
        <w:t>e) Las costras y las escaras son lesiones primarias.</w:t>
      </w:r>
    </w:p>
    <w:p w:rsidR="00696DF9" w:rsidRPr="00696DF9" w:rsidRDefault="00696DF9" w:rsidP="00696DF9">
      <w:pPr>
        <w:spacing w:line="360" w:lineRule="atLeast"/>
        <w:jc w:val="both"/>
        <w:rPr>
          <w:rFonts w:ascii="Segoe UI" w:eastAsia="Times New Roman" w:hAnsi="Segoe UI" w:cs="Segoe UI"/>
          <w:color w:val="212529"/>
          <w:sz w:val="24"/>
          <w:szCs w:val="24"/>
          <w:lang w:val="es-ES"/>
        </w:rPr>
      </w:pPr>
      <w:r w:rsidRPr="00696DF9">
        <w:rPr>
          <w:rFonts w:ascii="Segoe UI" w:eastAsia="Times New Roman" w:hAnsi="Segoe UI" w:cs="Segoe UI"/>
          <w:b/>
          <w:bCs/>
          <w:color w:val="212529"/>
          <w:sz w:val="24"/>
          <w:szCs w:val="24"/>
          <w:lang w:val="es-ES"/>
        </w:rPr>
        <w:t>Explicación:</w:t>
      </w:r>
      <w:r w:rsidRPr="00696DF9">
        <w:rPr>
          <w:rFonts w:ascii="Segoe UI" w:eastAsia="Times New Roman" w:hAnsi="Segoe UI" w:cs="Segoe UI"/>
          <w:color w:val="212529"/>
          <w:sz w:val="24"/>
          <w:szCs w:val="24"/>
          <w:lang w:val="es-ES"/>
        </w:rPr>
        <w:t> Las lesiones primarias son las que aparecen sobre la piel previamente sana, mientras que las lesiones secundarias (como las costras y las escaras) se producen por una agresión sobre la piel o como consecuencia de la evolución de las primarias. Los nódulos suelen ser más profundos que las placas; los habones suelen ser rosados.</w:t>
      </w:r>
    </w:p>
    <w:p w:rsidR="00696DF9" w:rsidRPr="00696DF9" w:rsidRDefault="00696DF9" w:rsidP="00696DF9">
      <w:pPr>
        <w:shd w:val="clear" w:color="auto" w:fill="4DBF32"/>
        <w:spacing w:before="100" w:beforeAutospacing="1" w:after="100" w:afterAutospacing="1" w:line="360" w:lineRule="atLeast"/>
        <w:jc w:val="both"/>
        <w:rPr>
          <w:rFonts w:ascii="Arial" w:eastAsia="Times New Roman" w:hAnsi="Arial" w:cs="Arial"/>
          <w:color w:val="FFFFFF"/>
          <w:sz w:val="21"/>
          <w:szCs w:val="21"/>
          <w:lang w:val="es-ES"/>
        </w:rPr>
      </w:pPr>
      <w:r w:rsidRPr="00696DF9">
        <w:rPr>
          <w:rFonts w:ascii="Arial" w:eastAsia="Times New Roman" w:hAnsi="Arial" w:cs="Arial"/>
          <w:color w:val="FFFFFF"/>
          <w:sz w:val="21"/>
          <w:szCs w:val="21"/>
          <w:lang w:val="es-ES"/>
        </w:rPr>
        <w:t>Usted contestó correctamente a esta pregunta</w:t>
      </w:r>
    </w:p>
    <w:p w:rsidR="00696DF9" w:rsidRPr="00696DF9" w:rsidRDefault="00696DF9" w:rsidP="00696DF9">
      <w:pPr>
        <w:spacing w:before="100" w:beforeAutospacing="1" w:after="100" w:afterAutospacing="1" w:line="360" w:lineRule="atLeast"/>
        <w:jc w:val="both"/>
        <w:rPr>
          <w:rFonts w:ascii="Arial" w:eastAsia="Times New Roman" w:hAnsi="Arial" w:cs="Arial"/>
          <w:b/>
          <w:bCs/>
          <w:color w:val="212529"/>
          <w:sz w:val="26"/>
          <w:szCs w:val="26"/>
        </w:rPr>
      </w:pPr>
      <w:r w:rsidRPr="00696DF9">
        <w:rPr>
          <w:rFonts w:ascii="Arial" w:eastAsia="Times New Roman" w:hAnsi="Arial" w:cs="Arial"/>
          <w:b/>
          <w:bCs/>
          <w:color w:val="212529"/>
          <w:sz w:val="26"/>
          <w:szCs w:val="26"/>
        </w:rPr>
        <w:t>2. En la urticaria crónica:</w:t>
      </w:r>
    </w:p>
    <w:p w:rsidR="00696DF9" w:rsidRPr="00696DF9" w:rsidRDefault="00696DF9" w:rsidP="00696DF9">
      <w:pPr>
        <w:numPr>
          <w:ilvl w:val="0"/>
          <w:numId w:val="2"/>
        </w:numPr>
        <w:spacing w:before="100" w:beforeAutospacing="1" w:after="100" w:afterAutospacing="1" w:line="360" w:lineRule="atLeast"/>
        <w:jc w:val="both"/>
        <w:rPr>
          <w:rFonts w:ascii="Segoe UI" w:eastAsia="Times New Roman" w:hAnsi="Segoe UI" w:cs="Segoe UI"/>
          <w:color w:val="212529"/>
          <w:sz w:val="26"/>
          <w:szCs w:val="26"/>
          <w:lang w:val="es-ES"/>
        </w:rPr>
      </w:pPr>
      <w:r w:rsidRPr="00696DF9">
        <w:rPr>
          <w:rFonts w:ascii="Segoe UI" w:eastAsia="Times New Roman" w:hAnsi="Segoe UI" w:cs="Segoe UI"/>
          <w:color w:val="212529"/>
          <w:sz w:val="26"/>
          <w:szCs w:val="26"/>
          <w:lang w:val="es-ES"/>
        </w:rPr>
        <w:t>a) Nunca aparecen habones y angioedema simultáneamente.</w:t>
      </w:r>
    </w:p>
    <w:p w:rsidR="00696DF9" w:rsidRPr="00696DF9" w:rsidRDefault="00696DF9" w:rsidP="00696DF9">
      <w:pPr>
        <w:numPr>
          <w:ilvl w:val="0"/>
          <w:numId w:val="2"/>
        </w:numPr>
        <w:spacing w:before="100" w:beforeAutospacing="1" w:after="100" w:afterAutospacing="1" w:line="360" w:lineRule="atLeast"/>
        <w:jc w:val="both"/>
        <w:rPr>
          <w:rFonts w:ascii="Segoe UI" w:eastAsia="Times New Roman" w:hAnsi="Segoe UI" w:cs="Segoe UI"/>
          <w:color w:val="212529"/>
          <w:sz w:val="26"/>
          <w:szCs w:val="26"/>
          <w:lang w:val="es-ES"/>
        </w:rPr>
      </w:pPr>
      <w:r w:rsidRPr="00696DF9">
        <w:rPr>
          <w:rFonts w:ascii="Segoe UI" w:eastAsia="Times New Roman" w:hAnsi="Segoe UI" w:cs="Segoe UI"/>
          <w:color w:val="212529"/>
          <w:sz w:val="26"/>
          <w:szCs w:val="26"/>
          <w:lang w:val="es-ES"/>
        </w:rPr>
        <w:t>b) La principal manifestación es la aparición única de angioedema.</w:t>
      </w:r>
    </w:p>
    <w:p w:rsidR="00696DF9" w:rsidRPr="00696DF9" w:rsidRDefault="00696DF9" w:rsidP="00696DF9">
      <w:pPr>
        <w:numPr>
          <w:ilvl w:val="0"/>
          <w:numId w:val="2"/>
        </w:numPr>
        <w:spacing w:before="100" w:beforeAutospacing="1" w:after="100" w:afterAutospacing="1" w:line="360" w:lineRule="atLeast"/>
        <w:jc w:val="both"/>
        <w:rPr>
          <w:rFonts w:ascii="Segoe UI" w:eastAsia="Times New Roman" w:hAnsi="Segoe UI" w:cs="Segoe UI"/>
          <w:color w:val="212529"/>
          <w:sz w:val="26"/>
          <w:szCs w:val="26"/>
          <w:lang w:val="es-ES"/>
        </w:rPr>
      </w:pPr>
      <w:r w:rsidRPr="00696DF9">
        <w:rPr>
          <w:rFonts w:ascii="Segoe UI" w:eastAsia="Times New Roman" w:hAnsi="Segoe UI" w:cs="Segoe UI"/>
          <w:color w:val="212529"/>
          <w:sz w:val="26"/>
          <w:szCs w:val="26"/>
          <w:lang w:val="es-ES"/>
        </w:rPr>
        <w:t>c) El angioedema siempre se acompaña de prurito.</w:t>
      </w:r>
    </w:p>
    <w:p w:rsidR="00696DF9" w:rsidRPr="00696DF9" w:rsidRDefault="00696DF9" w:rsidP="00696DF9">
      <w:pPr>
        <w:numPr>
          <w:ilvl w:val="0"/>
          <w:numId w:val="2"/>
        </w:numPr>
        <w:spacing w:before="100" w:beforeAutospacing="1" w:after="100" w:afterAutospacing="1" w:line="360" w:lineRule="atLeast"/>
        <w:jc w:val="both"/>
        <w:rPr>
          <w:rFonts w:ascii="Segoe UI" w:eastAsia="Times New Roman" w:hAnsi="Segoe UI" w:cs="Segoe UI"/>
          <w:color w:val="212529"/>
          <w:sz w:val="26"/>
          <w:szCs w:val="26"/>
          <w:lang w:val="es-ES"/>
        </w:rPr>
      </w:pPr>
      <w:r w:rsidRPr="00696DF9">
        <w:rPr>
          <w:rFonts w:ascii="Segoe UI" w:eastAsia="Times New Roman" w:hAnsi="Segoe UI" w:cs="Segoe UI"/>
          <w:color w:val="212529"/>
          <w:sz w:val="26"/>
          <w:szCs w:val="26"/>
          <w:lang w:val="es-ES"/>
        </w:rPr>
        <w:t>d) La lesión más frecuente es la mácula.</w:t>
      </w:r>
    </w:p>
    <w:p w:rsidR="00696DF9" w:rsidRPr="00696DF9" w:rsidRDefault="00696DF9" w:rsidP="00696DF9">
      <w:pPr>
        <w:numPr>
          <w:ilvl w:val="0"/>
          <w:numId w:val="2"/>
        </w:numPr>
        <w:spacing w:before="100" w:beforeAutospacing="1" w:after="100" w:afterAutospacing="1" w:line="360" w:lineRule="atLeast"/>
        <w:jc w:val="both"/>
        <w:rPr>
          <w:rFonts w:ascii="Segoe UI" w:eastAsia="Times New Roman" w:hAnsi="Segoe UI" w:cs="Segoe UI"/>
          <w:color w:val="4DBF32"/>
          <w:sz w:val="26"/>
          <w:szCs w:val="26"/>
          <w:lang w:val="es-ES"/>
        </w:rPr>
      </w:pPr>
      <w:r w:rsidRPr="00696DF9">
        <w:rPr>
          <w:rFonts w:ascii="Segoe UI" w:eastAsia="Times New Roman" w:hAnsi="Segoe UI" w:cs="Segoe UI"/>
          <w:color w:val="4DBF32"/>
          <w:sz w:val="26"/>
          <w:szCs w:val="26"/>
          <w:lang w:val="es-ES"/>
        </w:rPr>
        <w:t>e) Los habones se resuelven sin dejar lesiones residuales.</w:t>
      </w:r>
    </w:p>
    <w:p w:rsidR="00696DF9" w:rsidRPr="00696DF9" w:rsidRDefault="00696DF9" w:rsidP="00696DF9">
      <w:pPr>
        <w:spacing w:line="360" w:lineRule="atLeast"/>
        <w:jc w:val="both"/>
        <w:rPr>
          <w:rFonts w:ascii="Segoe UI" w:eastAsia="Times New Roman" w:hAnsi="Segoe UI" w:cs="Segoe UI"/>
          <w:color w:val="212529"/>
          <w:sz w:val="24"/>
          <w:szCs w:val="24"/>
          <w:lang w:val="es-ES"/>
        </w:rPr>
      </w:pPr>
      <w:r w:rsidRPr="00696DF9">
        <w:rPr>
          <w:rFonts w:ascii="Segoe UI" w:eastAsia="Times New Roman" w:hAnsi="Segoe UI" w:cs="Segoe UI"/>
          <w:b/>
          <w:bCs/>
          <w:color w:val="212529"/>
          <w:sz w:val="24"/>
          <w:szCs w:val="24"/>
          <w:lang w:val="es-ES"/>
        </w:rPr>
        <w:t>Explicación:</w:t>
      </w:r>
      <w:r w:rsidRPr="00696DF9">
        <w:rPr>
          <w:rFonts w:ascii="Segoe UI" w:eastAsia="Times New Roman" w:hAnsi="Segoe UI" w:cs="Segoe UI"/>
          <w:color w:val="212529"/>
          <w:sz w:val="24"/>
          <w:szCs w:val="24"/>
          <w:lang w:val="es-ES"/>
        </w:rPr>
        <w:t> En la urticaria crónica, las lesiones característicamente encontradas son el habón y el angioedema, y pueden presentarse solas o por separado. El habón es más frecuente que el angioedema, asocia prurito y desaparece en menos de 24 horas sin dejar lesiones residuales. El angioedema suele ir acompañado simultáneamente de historia previa de habones y, a menudo, es más doloroso que pruriginoso.</w:t>
      </w:r>
    </w:p>
    <w:p w:rsidR="00696DF9" w:rsidRPr="00696DF9" w:rsidRDefault="00696DF9" w:rsidP="00696DF9">
      <w:pPr>
        <w:shd w:val="clear" w:color="auto" w:fill="4DBF32"/>
        <w:spacing w:before="100" w:beforeAutospacing="1" w:after="100" w:afterAutospacing="1" w:line="360" w:lineRule="atLeast"/>
        <w:jc w:val="both"/>
        <w:rPr>
          <w:rFonts w:ascii="Arial" w:eastAsia="Times New Roman" w:hAnsi="Arial" w:cs="Arial"/>
          <w:color w:val="FFFFFF"/>
          <w:sz w:val="21"/>
          <w:szCs w:val="21"/>
          <w:lang w:val="es-ES"/>
        </w:rPr>
      </w:pPr>
      <w:r w:rsidRPr="00696DF9">
        <w:rPr>
          <w:rFonts w:ascii="Arial" w:eastAsia="Times New Roman" w:hAnsi="Arial" w:cs="Arial"/>
          <w:color w:val="FFFFFF"/>
          <w:sz w:val="21"/>
          <w:szCs w:val="21"/>
          <w:lang w:val="es-ES"/>
        </w:rPr>
        <w:t>Usted contestó correctamente a esta pregunta</w:t>
      </w:r>
    </w:p>
    <w:p w:rsidR="00696DF9" w:rsidRPr="00696DF9" w:rsidRDefault="00696DF9" w:rsidP="00696DF9">
      <w:pPr>
        <w:spacing w:before="100" w:beforeAutospacing="1" w:after="100" w:afterAutospacing="1" w:line="360" w:lineRule="atLeast"/>
        <w:jc w:val="both"/>
        <w:rPr>
          <w:rFonts w:ascii="Arial" w:eastAsia="Times New Roman" w:hAnsi="Arial" w:cs="Arial"/>
          <w:b/>
          <w:bCs/>
          <w:color w:val="212529"/>
          <w:sz w:val="26"/>
          <w:szCs w:val="26"/>
          <w:lang w:val="es-ES"/>
        </w:rPr>
      </w:pPr>
      <w:r w:rsidRPr="00696DF9">
        <w:rPr>
          <w:rFonts w:ascii="Arial" w:eastAsia="Times New Roman" w:hAnsi="Arial" w:cs="Arial"/>
          <w:b/>
          <w:bCs/>
          <w:color w:val="212529"/>
          <w:sz w:val="26"/>
          <w:szCs w:val="26"/>
          <w:lang w:val="es-ES"/>
        </w:rPr>
        <w:t>3. ¿En cuál de estas situaciones deberíamos de poner en duda el diagnóstico de urticaria?:</w:t>
      </w:r>
    </w:p>
    <w:p w:rsidR="00696DF9" w:rsidRPr="00696DF9" w:rsidRDefault="00696DF9" w:rsidP="00696DF9">
      <w:pPr>
        <w:numPr>
          <w:ilvl w:val="0"/>
          <w:numId w:val="3"/>
        </w:numPr>
        <w:spacing w:before="100" w:beforeAutospacing="1" w:after="100" w:afterAutospacing="1" w:line="360" w:lineRule="atLeast"/>
        <w:jc w:val="both"/>
        <w:rPr>
          <w:rFonts w:ascii="Segoe UI" w:eastAsia="Times New Roman" w:hAnsi="Segoe UI" w:cs="Segoe UI"/>
          <w:color w:val="4DBF32"/>
          <w:sz w:val="26"/>
          <w:szCs w:val="26"/>
          <w:lang w:val="es-ES"/>
        </w:rPr>
      </w:pPr>
      <w:r w:rsidRPr="00696DF9">
        <w:rPr>
          <w:rFonts w:ascii="Segoe UI" w:eastAsia="Times New Roman" w:hAnsi="Segoe UI" w:cs="Segoe UI"/>
          <w:color w:val="4DBF32"/>
          <w:sz w:val="26"/>
          <w:szCs w:val="26"/>
          <w:lang w:val="es-ES"/>
        </w:rPr>
        <w:lastRenderedPageBreak/>
        <w:t>a) Si el habón dura más de 24 horas.</w:t>
      </w:r>
    </w:p>
    <w:p w:rsidR="00696DF9" w:rsidRPr="00696DF9" w:rsidRDefault="00696DF9" w:rsidP="00696DF9">
      <w:pPr>
        <w:numPr>
          <w:ilvl w:val="0"/>
          <w:numId w:val="3"/>
        </w:numPr>
        <w:spacing w:before="100" w:beforeAutospacing="1" w:after="100" w:afterAutospacing="1" w:line="360" w:lineRule="atLeast"/>
        <w:jc w:val="both"/>
        <w:rPr>
          <w:rFonts w:ascii="Segoe UI" w:eastAsia="Times New Roman" w:hAnsi="Segoe UI" w:cs="Segoe UI"/>
          <w:color w:val="212529"/>
          <w:sz w:val="26"/>
          <w:szCs w:val="26"/>
          <w:lang w:val="es-ES"/>
        </w:rPr>
      </w:pPr>
      <w:r w:rsidRPr="00696DF9">
        <w:rPr>
          <w:rFonts w:ascii="Segoe UI" w:eastAsia="Times New Roman" w:hAnsi="Segoe UI" w:cs="Segoe UI"/>
          <w:color w:val="212529"/>
          <w:sz w:val="26"/>
          <w:szCs w:val="26"/>
          <w:lang w:val="es-ES"/>
        </w:rPr>
        <w:t>b) Si el habón no asocia otras lesiones elementales.</w:t>
      </w:r>
    </w:p>
    <w:p w:rsidR="00696DF9" w:rsidRPr="00696DF9" w:rsidRDefault="00696DF9" w:rsidP="00696DF9">
      <w:pPr>
        <w:numPr>
          <w:ilvl w:val="0"/>
          <w:numId w:val="3"/>
        </w:numPr>
        <w:spacing w:before="100" w:beforeAutospacing="1" w:after="100" w:afterAutospacing="1" w:line="360" w:lineRule="atLeast"/>
        <w:jc w:val="both"/>
        <w:rPr>
          <w:rFonts w:ascii="Segoe UI" w:eastAsia="Times New Roman" w:hAnsi="Segoe UI" w:cs="Segoe UI"/>
          <w:color w:val="212529"/>
          <w:sz w:val="26"/>
          <w:szCs w:val="26"/>
          <w:lang w:val="es-ES"/>
        </w:rPr>
      </w:pPr>
      <w:r w:rsidRPr="00696DF9">
        <w:rPr>
          <w:rFonts w:ascii="Segoe UI" w:eastAsia="Times New Roman" w:hAnsi="Segoe UI" w:cs="Segoe UI"/>
          <w:color w:val="212529"/>
          <w:sz w:val="26"/>
          <w:szCs w:val="26"/>
          <w:lang w:val="es-ES"/>
        </w:rPr>
        <w:t>c) Si el habón asocia prurito.</w:t>
      </w:r>
    </w:p>
    <w:p w:rsidR="00696DF9" w:rsidRPr="00696DF9" w:rsidRDefault="00696DF9" w:rsidP="00696DF9">
      <w:pPr>
        <w:numPr>
          <w:ilvl w:val="0"/>
          <w:numId w:val="3"/>
        </w:numPr>
        <w:spacing w:before="100" w:beforeAutospacing="1" w:after="100" w:afterAutospacing="1" w:line="360" w:lineRule="atLeast"/>
        <w:jc w:val="both"/>
        <w:rPr>
          <w:rFonts w:ascii="Segoe UI" w:eastAsia="Times New Roman" w:hAnsi="Segoe UI" w:cs="Segoe UI"/>
          <w:color w:val="212529"/>
          <w:sz w:val="26"/>
          <w:szCs w:val="26"/>
          <w:lang w:val="es-ES"/>
        </w:rPr>
      </w:pPr>
      <w:r w:rsidRPr="00696DF9">
        <w:rPr>
          <w:rFonts w:ascii="Segoe UI" w:eastAsia="Times New Roman" w:hAnsi="Segoe UI" w:cs="Segoe UI"/>
          <w:color w:val="212529"/>
          <w:sz w:val="26"/>
          <w:szCs w:val="26"/>
          <w:lang w:val="es-ES"/>
        </w:rPr>
        <w:t>d) Si el habón no asocia fiebre y artralgias.</w:t>
      </w:r>
    </w:p>
    <w:p w:rsidR="00696DF9" w:rsidRPr="00696DF9" w:rsidRDefault="00696DF9" w:rsidP="00696DF9">
      <w:pPr>
        <w:numPr>
          <w:ilvl w:val="0"/>
          <w:numId w:val="3"/>
        </w:numPr>
        <w:spacing w:before="100" w:beforeAutospacing="1" w:after="100" w:afterAutospacing="1" w:line="360" w:lineRule="atLeast"/>
        <w:jc w:val="both"/>
        <w:rPr>
          <w:rFonts w:ascii="Segoe UI" w:eastAsia="Times New Roman" w:hAnsi="Segoe UI" w:cs="Segoe UI"/>
          <w:color w:val="212529"/>
          <w:sz w:val="26"/>
          <w:szCs w:val="26"/>
          <w:lang w:val="es-ES"/>
        </w:rPr>
      </w:pPr>
      <w:r w:rsidRPr="00696DF9">
        <w:rPr>
          <w:rFonts w:ascii="Segoe UI" w:eastAsia="Times New Roman" w:hAnsi="Segoe UI" w:cs="Segoe UI"/>
          <w:color w:val="212529"/>
          <w:sz w:val="26"/>
          <w:szCs w:val="26"/>
          <w:lang w:val="es-ES"/>
        </w:rPr>
        <w:t>e) Si el habón se acompaña de angioedema.</w:t>
      </w:r>
    </w:p>
    <w:p w:rsidR="00696DF9" w:rsidRPr="00696DF9" w:rsidRDefault="00696DF9" w:rsidP="00696DF9">
      <w:pPr>
        <w:spacing w:line="360" w:lineRule="atLeast"/>
        <w:jc w:val="both"/>
        <w:rPr>
          <w:rFonts w:ascii="Segoe UI" w:eastAsia="Times New Roman" w:hAnsi="Segoe UI" w:cs="Segoe UI"/>
          <w:color w:val="212529"/>
          <w:sz w:val="24"/>
          <w:szCs w:val="24"/>
          <w:lang w:val="es-ES"/>
        </w:rPr>
      </w:pPr>
      <w:r w:rsidRPr="00696DF9">
        <w:rPr>
          <w:rFonts w:ascii="Segoe UI" w:eastAsia="Times New Roman" w:hAnsi="Segoe UI" w:cs="Segoe UI"/>
          <w:b/>
          <w:bCs/>
          <w:color w:val="212529"/>
          <w:sz w:val="24"/>
          <w:szCs w:val="24"/>
          <w:lang w:val="es-ES"/>
        </w:rPr>
        <w:t>Explicación:</w:t>
      </w:r>
      <w:r w:rsidRPr="00696DF9">
        <w:rPr>
          <w:rFonts w:ascii="Segoe UI" w:eastAsia="Times New Roman" w:hAnsi="Segoe UI" w:cs="Segoe UI"/>
          <w:color w:val="212529"/>
          <w:sz w:val="24"/>
          <w:szCs w:val="24"/>
          <w:lang w:val="es-ES"/>
        </w:rPr>
        <w:t> El habón en la urticaria desaparece en menos de 24 horas.</w:t>
      </w:r>
    </w:p>
    <w:p w:rsidR="00696DF9" w:rsidRPr="00696DF9" w:rsidRDefault="00696DF9" w:rsidP="00696DF9">
      <w:pPr>
        <w:shd w:val="clear" w:color="auto" w:fill="4DBF32"/>
        <w:spacing w:before="100" w:beforeAutospacing="1" w:after="100" w:afterAutospacing="1" w:line="360" w:lineRule="atLeast"/>
        <w:jc w:val="both"/>
        <w:rPr>
          <w:rFonts w:ascii="Arial" w:eastAsia="Times New Roman" w:hAnsi="Arial" w:cs="Arial"/>
          <w:color w:val="FFFFFF"/>
          <w:sz w:val="21"/>
          <w:szCs w:val="21"/>
          <w:lang w:val="es-ES"/>
        </w:rPr>
      </w:pPr>
      <w:r w:rsidRPr="00696DF9">
        <w:rPr>
          <w:rFonts w:ascii="Arial" w:eastAsia="Times New Roman" w:hAnsi="Arial" w:cs="Arial"/>
          <w:color w:val="FFFFFF"/>
          <w:sz w:val="21"/>
          <w:szCs w:val="21"/>
          <w:lang w:val="es-ES"/>
        </w:rPr>
        <w:t>Usted contestó correctamente a esta pregunta</w:t>
      </w:r>
    </w:p>
    <w:p w:rsidR="00696DF9" w:rsidRPr="00696DF9" w:rsidRDefault="00696DF9" w:rsidP="00696DF9">
      <w:pPr>
        <w:spacing w:before="100" w:beforeAutospacing="1" w:after="100" w:afterAutospacing="1" w:line="360" w:lineRule="atLeast"/>
        <w:jc w:val="both"/>
        <w:rPr>
          <w:rFonts w:ascii="Arial" w:eastAsia="Times New Roman" w:hAnsi="Arial" w:cs="Arial"/>
          <w:b/>
          <w:bCs/>
          <w:color w:val="212529"/>
          <w:sz w:val="26"/>
          <w:szCs w:val="26"/>
          <w:lang w:val="es-ES"/>
        </w:rPr>
      </w:pPr>
      <w:r w:rsidRPr="00696DF9">
        <w:rPr>
          <w:rFonts w:ascii="Arial" w:eastAsia="Times New Roman" w:hAnsi="Arial" w:cs="Arial"/>
          <w:b/>
          <w:bCs/>
          <w:color w:val="212529"/>
          <w:sz w:val="26"/>
          <w:szCs w:val="26"/>
          <w:lang w:val="es-ES"/>
        </w:rPr>
        <w:t>4. El angioedema en pacientes con urticaria crónica:</w:t>
      </w:r>
    </w:p>
    <w:p w:rsidR="00696DF9" w:rsidRPr="00696DF9" w:rsidRDefault="00696DF9" w:rsidP="00696DF9">
      <w:pPr>
        <w:numPr>
          <w:ilvl w:val="0"/>
          <w:numId w:val="4"/>
        </w:numPr>
        <w:spacing w:before="100" w:beforeAutospacing="1" w:after="100" w:afterAutospacing="1" w:line="360" w:lineRule="atLeast"/>
        <w:jc w:val="both"/>
        <w:rPr>
          <w:rFonts w:ascii="Segoe UI" w:eastAsia="Times New Roman" w:hAnsi="Segoe UI" w:cs="Segoe UI"/>
          <w:color w:val="212529"/>
          <w:sz w:val="26"/>
          <w:szCs w:val="26"/>
          <w:lang w:val="es-ES"/>
        </w:rPr>
      </w:pPr>
      <w:r w:rsidRPr="00696DF9">
        <w:rPr>
          <w:rFonts w:ascii="Segoe UI" w:eastAsia="Times New Roman" w:hAnsi="Segoe UI" w:cs="Segoe UI"/>
          <w:color w:val="212529"/>
          <w:sz w:val="26"/>
          <w:szCs w:val="26"/>
          <w:lang w:val="es-ES"/>
        </w:rPr>
        <w:t>a) No suele presentarse en párpados, labios, lengua o manos.</w:t>
      </w:r>
    </w:p>
    <w:p w:rsidR="00696DF9" w:rsidRPr="00696DF9" w:rsidRDefault="00696DF9" w:rsidP="00696DF9">
      <w:pPr>
        <w:numPr>
          <w:ilvl w:val="0"/>
          <w:numId w:val="4"/>
        </w:numPr>
        <w:spacing w:before="100" w:beforeAutospacing="1" w:after="100" w:afterAutospacing="1" w:line="360" w:lineRule="atLeast"/>
        <w:jc w:val="both"/>
        <w:rPr>
          <w:rFonts w:ascii="Segoe UI" w:eastAsia="Times New Roman" w:hAnsi="Segoe UI" w:cs="Segoe UI"/>
          <w:color w:val="212529"/>
          <w:sz w:val="26"/>
          <w:szCs w:val="26"/>
          <w:lang w:val="es-ES"/>
        </w:rPr>
      </w:pPr>
      <w:r w:rsidRPr="00696DF9">
        <w:rPr>
          <w:rFonts w:ascii="Segoe UI" w:eastAsia="Times New Roman" w:hAnsi="Segoe UI" w:cs="Segoe UI"/>
          <w:color w:val="212529"/>
          <w:sz w:val="26"/>
          <w:szCs w:val="26"/>
          <w:lang w:val="es-ES"/>
        </w:rPr>
        <w:t>b) Afecta principalmente a la epidermis y dermis superficial.</w:t>
      </w:r>
    </w:p>
    <w:p w:rsidR="00696DF9" w:rsidRPr="00696DF9" w:rsidRDefault="00696DF9" w:rsidP="00696DF9">
      <w:pPr>
        <w:numPr>
          <w:ilvl w:val="0"/>
          <w:numId w:val="4"/>
        </w:numPr>
        <w:spacing w:before="100" w:beforeAutospacing="1" w:after="100" w:afterAutospacing="1" w:line="360" w:lineRule="atLeast"/>
        <w:jc w:val="both"/>
        <w:rPr>
          <w:rFonts w:ascii="Segoe UI" w:eastAsia="Times New Roman" w:hAnsi="Segoe UI" w:cs="Segoe UI"/>
          <w:color w:val="4DBF32"/>
          <w:sz w:val="26"/>
          <w:szCs w:val="26"/>
          <w:lang w:val="es-ES"/>
        </w:rPr>
      </w:pPr>
      <w:r w:rsidRPr="00696DF9">
        <w:rPr>
          <w:rFonts w:ascii="Segoe UI" w:eastAsia="Times New Roman" w:hAnsi="Segoe UI" w:cs="Segoe UI"/>
          <w:color w:val="4DBF32"/>
          <w:sz w:val="26"/>
          <w:szCs w:val="26"/>
          <w:lang w:val="es-ES"/>
        </w:rPr>
        <w:t>c) Se suele resolver de manera más lenta que en el caso del habón.</w:t>
      </w:r>
    </w:p>
    <w:p w:rsidR="00696DF9" w:rsidRPr="00696DF9" w:rsidRDefault="00696DF9" w:rsidP="00696DF9">
      <w:pPr>
        <w:numPr>
          <w:ilvl w:val="0"/>
          <w:numId w:val="4"/>
        </w:numPr>
        <w:spacing w:before="100" w:beforeAutospacing="1" w:after="100" w:afterAutospacing="1" w:line="360" w:lineRule="atLeast"/>
        <w:jc w:val="both"/>
        <w:rPr>
          <w:rFonts w:ascii="Segoe UI" w:eastAsia="Times New Roman" w:hAnsi="Segoe UI" w:cs="Segoe UI"/>
          <w:color w:val="212529"/>
          <w:sz w:val="26"/>
          <w:szCs w:val="26"/>
          <w:lang w:val="es-ES"/>
        </w:rPr>
      </w:pPr>
      <w:r w:rsidRPr="00696DF9">
        <w:rPr>
          <w:rFonts w:ascii="Segoe UI" w:eastAsia="Times New Roman" w:hAnsi="Segoe UI" w:cs="Segoe UI"/>
          <w:color w:val="212529"/>
          <w:sz w:val="26"/>
          <w:szCs w:val="26"/>
          <w:lang w:val="es-ES"/>
        </w:rPr>
        <w:t>d) Aparece exclusivamente en la urticaria crónica.</w:t>
      </w:r>
    </w:p>
    <w:p w:rsidR="00696DF9" w:rsidRPr="00696DF9" w:rsidRDefault="00696DF9" w:rsidP="00696DF9">
      <w:pPr>
        <w:numPr>
          <w:ilvl w:val="0"/>
          <w:numId w:val="4"/>
        </w:numPr>
        <w:spacing w:before="100" w:beforeAutospacing="1" w:after="100" w:afterAutospacing="1" w:line="360" w:lineRule="atLeast"/>
        <w:jc w:val="both"/>
        <w:rPr>
          <w:rFonts w:ascii="Segoe UI" w:eastAsia="Times New Roman" w:hAnsi="Segoe UI" w:cs="Segoe UI"/>
          <w:color w:val="212529"/>
          <w:sz w:val="26"/>
          <w:szCs w:val="26"/>
          <w:lang w:val="es-ES"/>
        </w:rPr>
      </w:pPr>
      <w:r w:rsidRPr="00696DF9">
        <w:rPr>
          <w:rFonts w:ascii="Segoe UI" w:eastAsia="Times New Roman" w:hAnsi="Segoe UI" w:cs="Segoe UI"/>
          <w:color w:val="212529"/>
          <w:sz w:val="26"/>
          <w:szCs w:val="26"/>
          <w:lang w:val="es-ES"/>
        </w:rPr>
        <w:t>e) Nunca asocia afectación de las vías respiratorias.</w:t>
      </w:r>
    </w:p>
    <w:p w:rsidR="00696DF9" w:rsidRPr="00696DF9" w:rsidRDefault="00696DF9" w:rsidP="00696DF9">
      <w:pPr>
        <w:spacing w:line="360" w:lineRule="atLeast"/>
        <w:jc w:val="both"/>
        <w:rPr>
          <w:rFonts w:ascii="Segoe UI" w:eastAsia="Times New Roman" w:hAnsi="Segoe UI" w:cs="Segoe UI"/>
          <w:color w:val="212529"/>
          <w:sz w:val="24"/>
          <w:szCs w:val="24"/>
          <w:lang w:val="es-ES"/>
        </w:rPr>
      </w:pPr>
      <w:r w:rsidRPr="00696DF9">
        <w:rPr>
          <w:rFonts w:ascii="Segoe UI" w:eastAsia="Times New Roman" w:hAnsi="Segoe UI" w:cs="Segoe UI"/>
          <w:b/>
          <w:bCs/>
          <w:color w:val="212529"/>
          <w:sz w:val="24"/>
          <w:szCs w:val="24"/>
          <w:lang w:val="es-ES"/>
        </w:rPr>
        <w:t>Explicación:</w:t>
      </w:r>
      <w:r w:rsidRPr="00696DF9">
        <w:rPr>
          <w:rFonts w:ascii="Segoe UI" w:eastAsia="Times New Roman" w:hAnsi="Segoe UI" w:cs="Segoe UI"/>
          <w:color w:val="212529"/>
          <w:sz w:val="24"/>
          <w:szCs w:val="24"/>
          <w:lang w:val="es-ES"/>
        </w:rPr>
        <w:t> El angioedema puede aparecer de forma asociada a los habones en los pacientes con urticaria crónica. Ocurre por liberación de mediadores mastocitarios en la dermis inferior y el tejido celular subcutáneo. Sus localizaciones más habituales son: párpados, labios, lengua, manos, pies y genitales. Únicamente de manera excepcional puede haber afectación de la mucosa de la cavidad oral y/o de vías respiratorias, a diferencia de lo que ocurre con el angioedema mediado por bradicina.</w:t>
      </w:r>
    </w:p>
    <w:p w:rsidR="00696DF9" w:rsidRPr="00696DF9" w:rsidRDefault="00696DF9" w:rsidP="00696DF9">
      <w:pPr>
        <w:shd w:val="clear" w:color="auto" w:fill="4DBF32"/>
        <w:spacing w:before="100" w:beforeAutospacing="1" w:after="100" w:afterAutospacing="1" w:line="360" w:lineRule="atLeast"/>
        <w:jc w:val="both"/>
        <w:rPr>
          <w:rFonts w:ascii="Arial" w:eastAsia="Times New Roman" w:hAnsi="Arial" w:cs="Arial"/>
          <w:color w:val="FFFFFF"/>
          <w:sz w:val="21"/>
          <w:szCs w:val="21"/>
          <w:lang w:val="es-ES"/>
        </w:rPr>
      </w:pPr>
      <w:r w:rsidRPr="00696DF9">
        <w:rPr>
          <w:rFonts w:ascii="Arial" w:eastAsia="Times New Roman" w:hAnsi="Arial" w:cs="Arial"/>
          <w:color w:val="FFFFFF"/>
          <w:sz w:val="21"/>
          <w:szCs w:val="21"/>
          <w:lang w:val="es-ES"/>
        </w:rPr>
        <w:t>Usted contestó correctamente a esta pregunta</w:t>
      </w:r>
    </w:p>
    <w:p w:rsidR="00696DF9" w:rsidRPr="00696DF9" w:rsidRDefault="00696DF9" w:rsidP="00696DF9">
      <w:pPr>
        <w:spacing w:before="100" w:beforeAutospacing="1" w:after="100" w:afterAutospacing="1" w:line="360" w:lineRule="atLeast"/>
        <w:jc w:val="both"/>
        <w:rPr>
          <w:rFonts w:ascii="Arial" w:eastAsia="Times New Roman" w:hAnsi="Arial" w:cs="Arial"/>
          <w:b/>
          <w:bCs/>
          <w:color w:val="212529"/>
          <w:sz w:val="26"/>
          <w:szCs w:val="26"/>
          <w:lang w:val="es-ES"/>
        </w:rPr>
      </w:pPr>
      <w:r w:rsidRPr="00696DF9">
        <w:rPr>
          <w:rFonts w:ascii="Arial" w:eastAsia="Times New Roman" w:hAnsi="Arial" w:cs="Arial"/>
          <w:b/>
          <w:bCs/>
          <w:color w:val="212529"/>
          <w:sz w:val="26"/>
          <w:szCs w:val="26"/>
          <w:lang w:val="es-ES"/>
        </w:rPr>
        <w:t>5. En relación con la utilización de las pruebas complementarias para el diagnóstico de la urticaria crónica, señale la correcta:</w:t>
      </w:r>
    </w:p>
    <w:p w:rsidR="00696DF9" w:rsidRPr="00696DF9" w:rsidRDefault="00696DF9" w:rsidP="00696DF9">
      <w:pPr>
        <w:numPr>
          <w:ilvl w:val="0"/>
          <w:numId w:val="5"/>
        </w:numPr>
        <w:spacing w:before="100" w:beforeAutospacing="1" w:after="100" w:afterAutospacing="1" w:line="360" w:lineRule="atLeast"/>
        <w:jc w:val="both"/>
        <w:rPr>
          <w:rFonts w:ascii="Segoe UI" w:eastAsia="Times New Roman" w:hAnsi="Segoe UI" w:cs="Segoe UI"/>
          <w:color w:val="212529"/>
          <w:sz w:val="26"/>
          <w:szCs w:val="26"/>
          <w:lang w:val="es-ES"/>
        </w:rPr>
      </w:pPr>
      <w:r w:rsidRPr="00696DF9">
        <w:rPr>
          <w:rFonts w:ascii="Segoe UI" w:eastAsia="Times New Roman" w:hAnsi="Segoe UI" w:cs="Segoe UI"/>
          <w:color w:val="212529"/>
          <w:sz w:val="26"/>
          <w:szCs w:val="26"/>
          <w:lang w:val="es-ES"/>
        </w:rPr>
        <w:t>a) Nunca son necesarias, con la anamnesis y la exploración física es suficiente.</w:t>
      </w:r>
    </w:p>
    <w:p w:rsidR="00696DF9" w:rsidRPr="00696DF9" w:rsidRDefault="00696DF9" w:rsidP="00696DF9">
      <w:pPr>
        <w:numPr>
          <w:ilvl w:val="0"/>
          <w:numId w:val="5"/>
        </w:numPr>
        <w:spacing w:before="100" w:beforeAutospacing="1" w:after="100" w:afterAutospacing="1" w:line="360" w:lineRule="atLeast"/>
        <w:jc w:val="both"/>
        <w:rPr>
          <w:rFonts w:ascii="Segoe UI" w:eastAsia="Times New Roman" w:hAnsi="Segoe UI" w:cs="Segoe UI"/>
          <w:color w:val="212529"/>
          <w:sz w:val="26"/>
          <w:szCs w:val="26"/>
          <w:lang w:val="es-ES"/>
        </w:rPr>
      </w:pPr>
      <w:r w:rsidRPr="00696DF9">
        <w:rPr>
          <w:rFonts w:ascii="Segoe UI" w:eastAsia="Times New Roman" w:hAnsi="Segoe UI" w:cs="Segoe UI"/>
          <w:color w:val="212529"/>
          <w:sz w:val="26"/>
          <w:szCs w:val="26"/>
          <w:lang w:val="es-ES"/>
        </w:rPr>
        <w:t>b) Se realizará un hemograma con VSG/PCR en función de los hallazgos obtenidos en la anamnesis y en la exploración.</w:t>
      </w:r>
    </w:p>
    <w:p w:rsidR="00696DF9" w:rsidRPr="00696DF9" w:rsidRDefault="00696DF9" w:rsidP="00696DF9">
      <w:pPr>
        <w:numPr>
          <w:ilvl w:val="0"/>
          <w:numId w:val="5"/>
        </w:numPr>
        <w:spacing w:before="100" w:beforeAutospacing="1" w:after="100" w:afterAutospacing="1" w:line="360" w:lineRule="atLeast"/>
        <w:jc w:val="both"/>
        <w:rPr>
          <w:rFonts w:ascii="Segoe UI" w:eastAsia="Times New Roman" w:hAnsi="Segoe UI" w:cs="Segoe UI"/>
          <w:color w:val="212529"/>
          <w:sz w:val="26"/>
          <w:szCs w:val="26"/>
          <w:lang w:val="es-ES"/>
        </w:rPr>
      </w:pPr>
      <w:r w:rsidRPr="00696DF9">
        <w:rPr>
          <w:rFonts w:ascii="Segoe UI" w:eastAsia="Times New Roman" w:hAnsi="Segoe UI" w:cs="Segoe UI"/>
          <w:color w:val="212529"/>
          <w:sz w:val="26"/>
          <w:szCs w:val="26"/>
          <w:lang w:val="es-ES"/>
        </w:rPr>
        <w:t>c) Solamente se realizará hemograma con VSG/PCR.</w:t>
      </w:r>
    </w:p>
    <w:p w:rsidR="00696DF9" w:rsidRPr="00696DF9" w:rsidRDefault="00696DF9" w:rsidP="00696DF9">
      <w:pPr>
        <w:numPr>
          <w:ilvl w:val="0"/>
          <w:numId w:val="5"/>
        </w:numPr>
        <w:spacing w:before="100" w:beforeAutospacing="1" w:after="100" w:afterAutospacing="1" w:line="360" w:lineRule="atLeast"/>
        <w:jc w:val="both"/>
        <w:rPr>
          <w:rFonts w:ascii="Segoe UI" w:eastAsia="Times New Roman" w:hAnsi="Segoe UI" w:cs="Segoe UI"/>
          <w:color w:val="212529"/>
          <w:sz w:val="26"/>
          <w:szCs w:val="26"/>
          <w:lang w:val="es-ES"/>
        </w:rPr>
      </w:pPr>
      <w:r w:rsidRPr="00696DF9">
        <w:rPr>
          <w:rFonts w:ascii="Segoe UI" w:eastAsia="Times New Roman" w:hAnsi="Segoe UI" w:cs="Segoe UI"/>
          <w:color w:val="212529"/>
          <w:sz w:val="26"/>
          <w:szCs w:val="26"/>
          <w:lang w:val="es-ES"/>
        </w:rPr>
        <w:t>d) No son necesarias, el diagnóstico es fundamentalmente clínico.</w:t>
      </w:r>
    </w:p>
    <w:p w:rsidR="00696DF9" w:rsidRPr="00696DF9" w:rsidRDefault="00696DF9" w:rsidP="00696DF9">
      <w:pPr>
        <w:numPr>
          <w:ilvl w:val="0"/>
          <w:numId w:val="5"/>
        </w:numPr>
        <w:spacing w:before="100" w:beforeAutospacing="1" w:after="100" w:afterAutospacing="1" w:line="360" w:lineRule="atLeast"/>
        <w:jc w:val="both"/>
        <w:rPr>
          <w:rFonts w:ascii="Segoe UI" w:eastAsia="Times New Roman" w:hAnsi="Segoe UI" w:cs="Segoe UI"/>
          <w:color w:val="4DBF32"/>
          <w:sz w:val="26"/>
          <w:szCs w:val="26"/>
          <w:lang w:val="es-ES"/>
        </w:rPr>
      </w:pPr>
      <w:r w:rsidRPr="00696DF9">
        <w:rPr>
          <w:rFonts w:ascii="Segoe UI" w:eastAsia="Times New Roman" w:hAnsi="Segoe UI" w:cs="Segoe UI"/>
          <w:color w:val="4DBF32"/>
          <w:sz w:val="26"/>
          <w:szCs w:val="26"/>
          <w:lang w:val="es-ES"/>
        </w:rPr>
        <w:lastRenderedPageBreak/>
        <w:t>e) Aunque el diagnóstico es fundamentalmente clínico, se realizará, de rutina, un hemograma con VSG/PCR, así como otros estudios, si es preciso, en función de la sospecha clínica.</w:t>
      </w:r>
    </w:p>
    <w:p w:rsidR="00696DF9" w:rsidRPr="00696DF9" w:rsidRDefault="00696DF9" w:rsidP="00696DF9">
      <w:pPr>
        <w:spacing w:line="360" w:lineRule="atLeast"/>
        <w:jc w:val="both"/>
        <w:rPr>
          <w:rFonts w:ascii="Segoe UI" w:eastAsia="Times New Roman" w:hAnsi="Segoe UI" w:cs="Segoe UI"/>
          <w:color w:val="212529"/>
          <w:sz w:val="24"/>
          <w:szCs w:val="24"/>
          <w:lang w:val="es-ES"/>
        </w:rPr>
      </w:pPr>
      <w:r w:rsidRPr="00696DF9">
        <w:rPr>
          <w:rFonts w:ascii="Segoe UI" w:eastAsia="Times New Roman" w:hAnsi="Segoe UI" w:cs="Segoe UI"/>
          <w:b/>
          <w:bCs/>
          <w:color w:val="212529"/>
          <w:sz w:val="24"/>
          <w:szCs w:val="24"/>
          <w:lang w:val="es-ES"/>
        </w:rPr>
        <w:t>Explicación:</w:t>
      </w:r>
      <w:r w:rsidRPr="00696DF9">
        <w:rPr>
          <w:rFonts w:ascii="Segoe UI" w:eastAsia="Times New Roman" w:hAnsi="Segoe UI" w:cs="Segoe UI"/>
          <w:color w:val="212529"/>
          <w:sz w:val="24"/>
          <w:szCs w:val="24"/>
          <w:lang w:val="es-ES"/>
        </w:rPr>
        <w:t> El diagnóstico de la urticaria es fundamentalmente clínico y la realización de una anamnesis y una exploración física detalladas son imprescindibles. Las principales guías recomiendan hacer un uso racional de las pruebas complementarias limitando las de rutina al hemograma, VSG y PCR, pero sin descartar otros estudios en función de la clínica del paciente.</w:t>
      </w:r>
    </w:p>
    <w:p w:rsidR="00696DF9" w:rsidRPr="00696DF9" w:rsidRDefault="00696DF9" w:rsidP="00696DF9">
      <w:pPr>
        <w:shd w:val="clear" w:color="auto" w:fill="4DBF32"/>
        <w:spacing w:before="100" w:beforeAutospacing="1" w:after="100" w:afterAutospacing="1" w:line="360" w:lineRule="atLeast"/>
        <w:jc w:val="both"/>
        <w:rPr>
          <w:rFonts w:ascii="Arial" w:eastAsia="Times New Roman" w:hAnsi="Arial" w:cs="Arial"/>
          <w:color w:val="FFFFFF"/>
          <w:sz w:val="21"/>
          <w:szCs w:val="21"/>
          <w:lang w:val="es-ES"/>
        </w:rPr>
      </w:pPr>
      <w:r w:rsidRPr="00696DF9">
        <w:rPr>
          <w:rFonts w:ascii="Arial" w:eastAsia="Times New Roman" w:hAnsi="Arial" w:cs="Arial"/>
          <w:color w:val="FFFFFF"/>
          <w:sz w:val="21"/>
          <w:szCs w:val="21"/>
          <w:lang w:val="es-ES"/>
        </w:rPr>
        <w:t>Usted contestó correctamente a esta pregunta</w:t>
      </w:r>
    </w:p>
    <w:p w:rsidR="00696DF9" w:rsidRPr="00696DF9" w:rsidRDefault="00696DF9" w:rsidP="00696DF9">
      <w:pPr>
        <w:spacing w:before="100" w:beforeAutospacing="1" w:after="100" w:afterAutospacing="1" w:line="360" w:lineRule="atLeast"/>
        <w:jc w:val="both"/>
        <w:rPr>
          <w:rFonts w:ascii="Arial" w:eastAsia="Times New Roman" w:hAnsi="Arial" w:cs="Arial"/>
          <w:b/>
          <w:bCs/>
          <w:color w:val="212529"/>
          <w:sz w:val="26"/>
          <w:szCs w:val="26"/>
          <w:lang w:val="es-ES"/>
        </w:rPr>
      </w:pPr>
      <w:r w:rsidRPr="00696DF9">
        <w:rPr>
          <w:rFonts w:ascii="Arial" w:eastAsia="Times New Roman" w:hAnsi="Arial" w:cs="Arial"/>
          <w:b/>
          <w:bCs/>
          <w:color w:val="212529"/>
          <w:sz w:val="26"/>
          <w:szCs w:val="26"/>
          <w:lang w:val="es-ES"/>
        </w:rPr>
        <w:t>6. En lo referente a la clasificación de la urticaria crónica, señale la falsa:</w:t>
      </w:r>
    </w:p>
    <w:p w:rsidR="00696DF9" w:rsidRPr="00696DF9" w:rsidRDefault="00696DF9" w:rsidP="00696DF9">
      <w:pPr>
        <w:numPr>
          <w:ilvl w:val="0"/>
          <w:numId w:val="6"/>
        </w:numPr>
        <w:spacing w:before="100" w:beforeAutospacing="1" w:after="100" w:afterAutospacing="1" w:line="360" w:lineRule="atLeast"/>
        <w:jc w:val="both"/>
        <w:rPr>
          <w:rFonts w:ascii="Segoe UI" w:eastAsia="Times New Roman" w:hAnsi="Segoe UI" w:cs="Segoe UI"/>
          <w:color w:val="4DBF32"/>
          <w:sz w:val="26"/>
          <w:szCs w:val="26"/>
          <w:lang w:val="es-ES"/>
        </w:rPr>
      </w:pPr>
      <w:r w:rsidRPr="00696DF9">
        <w:rPr>
          <w:rFonts w:ascii="Segoe UI" w:eastAsia="Times New Roman" w:hAnsi="Segoe UI" w:cs="Segoe UI"/>
          <w:color w:val="4DBF32"/>
          <w:sz w:val="26"/>
          <w:szCs w:val="26"/>
          <w:lang w:val="es-ES"/>
        </w:rPr>
        <w:t>a) La urticaria crónica espontánea, también conocida como idiopática, es el subtipo menos frecuente.</w:t>
      </w:r>
    </w:p>
    <w:p w:rsidR="00696DF9" w:rsidRPr="00696DF9" w:rsidRDefault="00696DF9" w:rsidP="00696DF9">
      <w:pPr>
        <w:numPr>
          <w:ilvl w:val="0"/>
          <w:numId w:val="6"/>
        </w:numPr>
        <w:spacing w:before="100" w:beforeAutospacing="1" w:after="100" w:afterAutospacing="1" w:line="360" w:lineRule="atLeast"/>
        <w:jc w:val="both"/>
        <w:rPr>
          <w:rFonts w:ascii="Segoe UI" w:eastAsia="Times New Roman" w:hAnsi="Segoe UI" w:cs="Segoe UI"/>
          <w:color w:val="212529"/>
          <w:sz w:val="26"/>
          <w:szCs w:val="26"/>
          <w:lang w:val="es-ES"/>
        </w:rPr>
      </w:pPr>
      <w:r w:rsidRPr="00696DF9">
        <w:rPr>
          <w:rFonts w:ascii="Segoe UI" w:eastAsia="Times New Roman" w:hAnsi="Segoe UI" w:cs="Segoe UI"/>
          <w:color w:val="212529"/>
          <w:sz w:val="26"/>
          <w:szCs w:val="26"/>
          <w:lang w:val="es-ES"/>
        </w:rPr>
        <w:t>b) La urticaria crónica inducible es causada por algún agente físico.</w:t>
      </w:r>
    </w:p>
    <w:p w:rsidR="00696DF9" w:rsidRPr="00696DF9" w:rsidRDefault="00696DF9" w:rsidP="00696DF9">
      <w:pPr>
        <w:numPr>
          <w:ilvl w:val="0"/>
          <w:numId w:val="6"/>
        </w:numPr>
        <w:spacing w:before="100" w:beforeAutospacing="1" w:after="100" w:afterAutospacing="1" w:line="360" w:lineRule="atLeast"/>
        <w:jc w:val="both"/>
        <w:rPr>
          <w:rFonts w:ascii="Segoe UI" w:eastAsia="Times New Roman" w:hAnsi="Segoe UI" w:cs="Segoe UI"/>
          <w:color w:val="212529"/>
          <w:sz w:val="26"/>
          <w:szCs w:val="26"/>
          <w:lang w:val="es-ES"/>
        </w:rPr>
      </w:pPr>
      <w:r w:rsidRPr="00696DF9">
        <w:rPr>
          <w:rFonts w:ascii="Segoe UI" w:eastAsia="Times New Roman" w:hAnsi="Segoe UI" w:cs="Segoe UI"/>
          <w:color w:val="212529"/>
          <w:sz w:val="26"/>
          <w:szCs w:val="26"/>
          <w:lang w:val="es-ES"/>
        </w:rPr>
        <w:t>c) La urticaria crónica idiopática incluye a la autorreactiva o autoinmune.</w:t>
      </w:r>
    </w:p>
    <w:p w:rsidR="00696DF9" w:rsidRPr="00696DF9" w:rsidRDefault="00696DF9" w:rsidP="00696DF9">
      <w:pPr>
        <w:numPr>
          <w:ilvl w:val="0"/>
          <w:numId w:val="6"/>
        </w:numPr>
        <w:spacing w:before="100" w:beforeAutospacing="1" w:after="100" w:afterAutospacing="1" w:line="360" w:lineRule="atLeast"/>
        <w:jc w:val="both"/>
        <w:rPr>
          <w:rFonts w:ascii="Segoe UI" w:eastAsia="Times New Roman" w:hAnsi="Segoe UI" w:cs="Segoe UI"/>
          <w:color w:val="212529"/>
          <w:sz w:val="26"/>
          <w:szCs w:val="26"/>
          <w:lang w:val="es-ES"/>
        </w:rPr>
      </w:pPr>
      <w:r w:rsidRPr="00696DF9">
        <w:rPr>
          <w:rFonts w:ascii="Segoe UI" w:eastAsia="Times New Roman" w:hAnsi="Segoe UI" w:cs="Segoe UI"/>
          <w:color w:val="212529"/>
          <w:sz w:val="26"/>
          <w:szCs w:val="26"/>
          <w:lang w:val="es-ES"/>
        </w:rPr>
        <w:t>d) La urticaria física es menos frecuente que la urticaria crónica espontánea.</w:t>
      </w:r>
    </w:p>
    <w:p w:rsidR="00696DF9" w:rsidRPr="00696DF9" w:rsidRDefault="00696DF9" w:rsidP="00696DF9">
      <w:pPr>
        <w:numPr>
          <w:ilvl w:val="0"/>
          <w:numId w:val="6"/>
        </w:numPr>
        <w:spacing w:before="100" w:beforeAutospacing="1" w:after="100" w:afterAutospacing="1" w:line="360" w:lineRule="atLeast"/>
        <w:jc w:val="both"/>
        <w:rPr>
          <w:rFonts w:ascii="Segoe UI" w:eastAsia="Times New Roman" w:hAnsi="Segoe UI" w:cs="Segoe UI"/>
          <w:color w:val="212529"/>
          <w:sz w:val="26"/>
          <w:szCs w:val="26"/>
          <w:lang w:val="es-ES"/>
        </w:rPr>
      </w:pPr>
      <w:r w:rsidRPr="00696DF9">
        <w:rPr>
          <w:rFonts w:ascii="Segoe UI" w:eastAsia="Times New Roman" w:hAnsi="Segoe UI" w:cs="Segoe UI"/>
          <w:color w:val="212529"/>
          <w:sz w:val="26"/>
          <w:szCs w:val="26"/>
          <w:lang w:val="es-ES"/>
        </w:rPr>
        <w:t>e) La urticaria acuagénica es un tipo de urticaria física.</w:t>
      </w:r>
    </w:p>
    <w:p w:rsidR="00696DF9" w:rsidRPr="00696DF9" w:rsidRDefault="00696DF9" w:rsidP="00696DF9">
      <w:pPr>
        <w:spacing w:line="360" w:lineRule="atLeast"/>
        <w:jc w:val="both"/>
        <w:rPr>
          <w:rFonts w:ascii="Segoe UI" w:eastAsia="Times New Roman" w:hAnsi="Segoe UI" w:cs="Segoe UI"/>
          <w:color w:val="212529"/>
          <w:sz w:val="24"/>
          <w:szCs w:val="24"/>
          <w:lang w:val="es-ES"/>
        </w:rPr>
      </w:pPr>
      <w:r w:rsidRPr="00696DF9">
        <w:rPr>
          <w:rFonts w:ascii="Segoe UI" w:eastAsia="Times New Roman" w:hAnsi="Segoe UI" w:cs="Segoe UI"/>
          <w:b/>
          <w:bCs/>
          <w:color w:val="212529"/>
          <w:sz w:val="24"/>
          <w:szCs w:val="24"/>
          <w:lang w:val="es-ES"/>
        </w:rPr>
        <w:t>Explicación:</w:t>
      </w:r>
      <w:r w:rsidRPr="00696DF9">
        <w:rPr>
          <w:rFonts w:ascii="Segoe UI" w:eastAsia="Times New Roman" w:hAnsi="Segoe UI" w:cs="Segoe UI"/>
          <w:color w:val="212529"/>
          <w:sz w:val="24"/>
          <w:szCs w:val="24"/>
          <w:lang w:val="es-ES"/>
        </w:rPr>
        <w:t> La urticaria crónica puede clasificarse en dos subtipos: urticaria crónica espontánea, que representa la mayoría de los casos, y que engloba a la autorreactiva o autoinmune; y la urticaria crónica física o inducible por diversos factores, menos frecuente.</w:t>
      </w:r>
    </w:p>
    <w:p w:rsidR="00696DF9" w:rsidRPr="00696DF9" w:rsidRDefault="00696DF9" w:rsidP="00696DF9">
      <w:pPr>
        <w:shd w:val="clear" w:color="auto" w:fill="4DBF32"/>
        <w:spacing w:before="100" w:beforeAutospacing="1" w:after="100" w:afterAutospacing="1" w:line="360" w:lineRule="atLeast"/>
        <w:jc w:val="both"/>
        <w:rPr>
          <w:rFonts w:ascii="Arial" w:eastAsia="Times New Roman" w:hAnsi="Arial" w:cs="Arial"/>
          <w:color w:val="FFFFFF"/>
          <w:sz w:val="21"/>
          <w:szCs w:val="21"/>
          <w:lang w:val="es-ES"/>
        </w:rPr>
      </w:pPr>
      <w:r w:rsidRPr="00696DF9">
        <w:rPr>
          <w:rFonts w:ascii="Arial" w:eastAsia="Times New Roman" w:hAnsi="Arial" w:cs="Arial"/>
          <w:color w:val="FFFFFF"/>
          <w:sz w:val="21"/>
          <w:szCs w:val="21"/>
          <w:lang w:val="es-ES"/>
        </w:rPr>
        <w:t>Usted contestó correctamente a esta pregunta</w:t>
      </w:r>
    </w:p>
    <w:p w:rsidR="00696DF9" w:rsidRPr="00696DF9" w:rsidRDefault="00696DF9" w:rsidP="00696DF9">
      <w:pPr>
        <w:spacing w:before="100" w:beforeAutospacing="1" w:after="100" w:afterAutospacing="1" w:line="360" w:lineRule="atLeast"/>
        <w:jc w:val="both"/>
        <w:rPr>
          <w:rFonts w:ascii="Arial" w:eastAsia="Times New Roman" w:hAnsi="Arial" w:cs="Arial"/>
          <w:b/>
          <w:bCs/>
          <w:color w:val="212529"/>
          <w:sz w:val="26"/>
          <w:szCs w:val="26"/>
          <w:lang w:val="es-ES"/>
        </w:rPr>
      </w:pPr>
      <w:r w:rsidRPr="00696DF9">
        <w:rPr>
          <w:rFonts w:ascii="Arial" w:eastAsia="Times New Roman" w:hAnsi="Arial" w:cs="Arial"/>
          <w:b/>
          <w:bCs/>
          <w:color w:val="212529"/>
          <w:sz w:val="26"/>
          <w:szCs w:val="26"/>
          <w:lang w:val="es-ES"/>
        </w:rPr>
        <w:t>7. En cuanto al diagnóstico diferencial de la urticaria crónica, ¿qué enunciado es incorrecto?:</w:t>
      </w:r>
    </w:p>
    <w:p w:rsidR="00696DF9" w:rsidRPr="00696DF9" w:rsidRDefault="00696DF9" w:rsidP="00696DF9">
      <w:pPr>
        <w:numPr>
          <w:ilvl w:val="0"/>
          <w:numId w:val="7"/>
        </w:numPr>
        <w:spacing w:before="100" w:beforeAutospacing="1" w:after="100" w:afterAutospacing="1" w:line="360" w:lineRule="atLeast"/>
        <w:jc w:val="both"/>
        <w:rPr>
          <w:rFonts w:ascii="Segoe UI" w:eastAsia="Times New Roman" w:hAnsi="Segoe UI" w:cs="Segoe UI"/>
          <w:color w:val="212529"/>
          <w:sz w:val="26"/>
          <w:szCs w:val="26"/>
          <w:lang w:val="es-ES"/>
        </w:rPr>
      </w:pPr>
      <w:r w:rsidRPr="00696DF9">
        <w:rPr>
          <w:rFonts w:ascii="Segoe UI" w:eastAsia="Times New Roman" w:hAnsi="Segoe UI" w:cs="Segoe UI"/>
          <w:color w:val="212529"/>
          <w:sz w:val="26"/>
          <w:szCs w:val="26"/>
          <w:lang w:val="es-ES"/>
        </w:rPr>
        <w:t>a) Algunos fármacos como los antiinflatorios no esteroideos (AINE) pueden provocar exacerbaciones de la urticaria crónica.</w:t>
      </w:r>
    </w:p>
    <w:p w:rsidR="00696DF9" w:rsidRPr="00696DF9" w:rsidRDefault="00696DF9" w:rsidP="00696DF9">
      <w:pPr>
        <w:numPr>
          <w:ilvl w:val="0"/>
          <w:numId w:val="7"/>
        </w:numPr>
        <w:spacing w:before="100" w:beforeAutospacing="1" w:after="100" w:afterAutospacing="1" w:line="360" w:lineRule="atLeast"/>
        <w:jc w:val="both"/>
        <w:rPr>
          <w:rFonts w:ascii="Segoe UI" w:eastAsia="Times New Roman" w:hAnsi="Segoe UI" w:cs="Segoe UI"/>
          <w:color w:val="212529"/>
          <w:sz w:val="26"/>
          <w:szCs w:val="26"/>
          <w:lang w:val="es-ES"/>
        </w:rPr>
      </w:pPr>
      <w:r w:rsidRPr="00696DF9">
        <w:rPr>
          <w:rFonts w:ascii="Segoe UI" w:eastAsia="Times New Roman" w:hAnsi="Segoe UI" w:cs="Segoe UI"/>
          <w:color w:val="212529"/>
          <w:sz w:val="26"/>
          <w:szCs w:val="26"/>
          <w:lang w:val="es-ES"/>
        </w:rPr>
        <w:t>b) Debemos valorar la existencia de síntomas locales y sistémicos.</w:t>
      </w:r>
    </w:p>
    <w:p w:rsidR="00696DF9" w:rsidRPr="00696DF9" w:rsidRDefault="00696DF9" w:rsidP="00696DF9">
      <w:pPr>
        <w:numPr>
          <w:ilvl w:val="0"/>
          <w:numId w:val="7"/>
        </w:numPr>
        <w:spacing w:before="100" w:beforeAutospacing="1" w:after="100" w:afterAutospacing="1" w:line="360" w:lineRule="atLeast"/>
        <w:jc w:val="both"/>
        <w:rPr>
          <w:rFonts w:ascii="Segoe UI" w:eastAsia="Times New Roman" w:hAnsi="Segoe UI" w:cs="Segoe UI"/>
          <w:color w:val="4DBF32"/>
          <w:sz w:val="26"/>
          <w:szCs w:val="26"/>
          <w:lang w:val="es-ES"/>
        </w:rPr>
      </w:pPr>
      <w:r w:rsidRPr="00696DF9">
        <w:rPr>
          <w:rFonts w:ascii="Segoe UI" w:eastAsia="Times New Roman" w:hAnsi="Segoe UI" w:cs="Segoe UI"/>
          <w:color w:val="4DBF32"/>
          <w:sz w:val="26"/>
          <w:szCs w:val="26"/>
          <w:lang w:val="es-ES"/>
        </w:rPr>
        <w:t>c) No es posible identificar la presencia de factores desencadenantes.</w:t>
      </w:r>
    </w:p>
    <w:p w:rsidR="00696DF9" w:rsidRPr="00696DF9" w:rsidRDefault="00696DF9" w:rsidP="00696DF9">
      <w:pPr>
        <w:numPr>
          <w:ilvl w:val="0"/>
          <w:numId w:val="7"/>
        </w:numPr>
        <w:spacing w:before="100" w:beforeAutospacing="1" w:after="100" w:afterAutospacing="1" w:line="360" w:lineRule="atLeast"/>
        <w:jc w:val="both"/>
        <w:rPr>
          <w:rFonts w:ascii="Segoe UI" w:eastAsia="Times New Roman" w:hAnsi="Segoe UI" w:cs="Segoe UI"/>
          <w:color w:val="212529"/>
          <w:sz w:val="26"/>
          <w:szCs w:val="26"/>
          <w:lang w:val="es-ES"/>
        </w:rPr>
      </w:pPr>
      <w:r w:rsidRPr="00696DF9">
        <w:rPr>
          <w:rFonts w:ascii="Segoe UI" w:eastAsia="Times New Roman" w:hAnsi="Segoe UI" w:cs="Segoe UI"/>
          <w:color w:val="212529"/>
          <w:sz w:val="26"/>
          <w:szCs w:val="26"/>
          <w:lang w:val="es-ES"/>
        </w:rPr>
        <w:t>d) El tiempo de evolución de las lesiones cutáneas (habón) debe ser menor a 24 h.</w:t>
      </w:r>
    </w:p>
    <w:p w:rsidR="00696DF9" w:rsidRPr="00696DF9" w:rsidRDefault="00696DF9" w:rsidP="00696DF9">
      <w:pPr>
        <w:numPr>
          <w:ilvl w:val="0"/>
          <w:numId w:val="7"/>
        </w:numPr>
        <w:spacing w:before="100" w:beforeAutospacing="1" w:after="100" w:afterAutospacing="1" w:line="360" w:lineRule="atLeast"/>
        <w:jc w:val="both"/>
        <w:rPr>
          <w:rFonts w:ascii="Segoe UI" w:eastAsia="Times New Roman" w:hAnsi="Segoe UI" w:cs="Segoe UI"/>
          <w:color w:val="212529"/>
          <w:sz w:val="26"/>
          <w:szCs w:val="26"/>
          <w:lang w:val="es-ES"/>
        </w:rPr>
      </w:pPr>
      <w:r w:rsidRPr="00696DF9">
        <w:rPr>
          <w:rFonts w:ascii="Segoe UI" w:eastAsia="Times New Roman" w:hAnsi="Segoe UI" w:cs="Segoe UI"/>
          <w:color w:val="212529"/>
          <w:sz w:val="26"/>
          <w:szCs w:val="26"/>
          <w:lang w:val="es-ES"/>
        </w:rPr>
        <w:lastRenderedPageBreak/>
        <w:t>e) Cuando aparece angioedema en pacientes con urticaria crónica habitualmente su duración es mayor que la de los habones de forma aislada.</w:t>
      </w:r>
    </w:p>
    <w:p w:rsidR="00696DF9" w:rsidRPr="00696DF9" w:rsidRDefault="00696DF9" w:rsidP="00696DF9">
      <w:pPr>
        <w:spacing w:line="360" w:lineRule="atLeast"/>
        <w:jc w:val="both"/>
        <w:rPr>
          <w:rFonts w:ascii="Segoe UI" w:eastAsia="Times New Roman" w:hAnsi="Segoe UI" w:cs="Segoe UI"/>
          <w:color w:val="212529"/>
          <w:sz w:val="24"/>
          <w:szCs w:val="24"/>
          <w:lang w:val="es-ES"/>
        </w:rPr>
      </w:pPr>
      <w:r w:rsidRPr="00696DF9">
        <w:rPr>
          <w:rFonts w:ascii="Segoe UI" w:eastAsia="Times New Roman" w:hAnsi="Segoe UI" w:cs="Segoe UI"/>
          <w:b/>
          <w:bCs/>
          <w:color w:val="212529"/>
          <w:sz w:val="24"/>
          <w:szCs w:val="24"/>
          <w:lang w:val="es-ES"/>
        </w:rPr>
        <w:t>Explicación:</w:t>
      </w:r>
      <w:r w:rsidRPr="00696DF9">
        <w:rPr>
          <w:rFonts w:ascii="Segoe UI" w:eastAsia="Times New Roman" w:hAnsi="Segoe UI" w:cs="Segoe UI"/>
          <w:color w:val="212529"/>
          <w:sz w:val="24"/>
          <w:szCs w:val="24"/>
          <w:lang w:val="es-ES"/>
        </w:rPr>
        <w:t> La ingesta de AINE es una causa frecuente (hasta el 30 %) de exacerbación de brotes de urticaria crónica. El estrés es otro de los factores desencadenantes descritos. El tiempo de evolución de las lesiones son cuestiones que deben valorarse ineludiblemente a la hora de realizar el diagnóstico, ya que en el caso de la duración de los habones de más de 24 h deben plantearse otras entidades como diagnóstico diferencial.</w:t>
      </w:r>
    </w:p>
    <w:p w:rsidR="00696DF9" w:rsidRPr="00696DF9" w:rsidRDefault="00696DF9" w:rsidP="00696DF9">
      <w:pPr>
        <w:shd w:val="clear" w:color="auto" w:fill="4DBF32"/>
        <w:spacing w:before="100" w:beforeAutospacing="1" w:after="100" w:afterAutospacing="1" w:line="360" w:lineRule="atLeast"/>
        <w:jc w:val="both"/>
        <w:rPr>
          <w:rFonts w:ascii="Arial" w:eastAsia="Times New Roman" w:hAnsi="Arial" w:cs="Arial"/>
          <w:color w:val="FFFFFF"/>
          <w:sz w:val="21"/>
          <w:szCs w:val="21"/>
          <w:lang w:val="es-ES"/>
        </w:rPr>
      </w:pPr>
      <w:r w:rsidRPr="00696DF9">
        <w:rPr>
          <w:rFonts w:ascii="Arial" w:eastAsia="Times New Roman" w:hAnsi="Arial" w:cs="Arial"/>
          <w:color w:val="FFFFFF"/>
          <w:sz w:val="21"/>
          <w:szCs w:val="21"/>
          <w:lang w:val="es-ES"/>
        </w:rPr>
        <w:t>Usted contestó correctamente a esta pregunta</w:t>
      </w:r>
    </w:p>
    <w:p w:rsidR="00696DF9" w:rsidRPr="00696DF9" w:rsidRDefault="00696DF9" w:rsidP="00696DF9">
      <w:pPr>
        <w:spacing w:before="100" w:beforeAutospacing="1" w:after="100" w:afterAutospacing="1" w:line="360" w:lineRule="atLeast"/>
        <w:jc w:val="both"/>
        <w:rPr>
          <w:rFonts w:ascii="Arial" w:eastAsia="Times New Roman" w:hAnsi="Arial" w:cs="Arial"/>
          <w:b/>
          <w:bCs/>
          <w:color w:val="212529"/>
          <w:sz w:val="26"/>
          <w:szCs w:val="26"/>
          <w:lang w:val="es-ES"/>
        </w:rPr>
      </w:pPr>
      <w:r w:rsidRPr="00696DF9">
        <w:rPr>
          <w:rFonts w:ascii="Arial" w:eastAsia="Times New Roman" w:hAnsi="Arial" w:cs="Arial"/>
          <w:b/>
          <w:bCs/>
          <w:color w:val="212529"/>
          <w:sz w:val="26"/>
          <w:szCs w:val="26"/>
          <w:lang w:val="es-ES"/>
        </w:rPr>
        <w:t>8. El diagnóstico diferencial se debe realizar con (señale la falsa):</w:t>
      </w:r>
    </w:p>
    <w:p w:rsidR="00696DF9" w:rsidRPr="00696DF9" w:rsidRDefault="00696DF9" w:rsidP="00696DF9">
      <w:pPr>
        <w:numPr>
          <w:ilvl w:val="0"/>
          <w:numId w:val="8"/>
        </w:numPr>
        <w:spacing w:before="100" w:beforeAutospacing="1" w:after="100" w:afterAutospacing="1" w:line="360" w:lineRule="atLeast"/>
        <w:jc w:val="both"/>
        <w:rPr>
          <w:rFonts w:ascii="Segoe UI" w:eastAsia="Times New Roman" w:hAnsi="Segoe UI" w:cs="Segoe UI"/>
          <w:color w:val="212529"/>
          <w:sz w:val="26"/>
          <w:szCs w:val="26"/>
        </w:rPr>
      </w:pPr>
      <w:r w:rsidRPr="00696DF9">
        <w:rPr>
          <w:rFonts w:ascii="Segoe UI" w:eastAsia="Times New Roman" w:hAnsi="Segoe UI" w:cs="Segoe UI"/>
          <w:color w:val="212529"/>
          <w:sz w:val="26"/>
          <w:szCs w:val="26"/>
        </w:rPr>
        <w:t>a) Urticaria-vasculitis.</w:t>
      </w:r>
    </w:p>
    <w:p w:rsidR="00696DF9" w:rsidRPr="00696DF9" w:rsidRDefault="00696DF9" w:rsidP="00696DF9">
      <w:pPr>
        <w:numPr>
          <w:ilvl w:val="0"/>
          <w:numId w:val="8"/>
        </w:numPr>
        <w:spacing w:before="100" w:beforeAutospacing="1" w:after="100" w:afterAutospacing="1" w:line="360" w:lineRule="atLeast"/>
        <w:jc w:val="both"/>
        <w:rPr>
          <w:rFonts w:ascii="Segoe UI" w:eastAsia="Times New Roman" w:hAnsi="Segoe UI" w:cs="Segoe UI"/>
          <w:color w:val="212529"/>
          <w:sz w:val="26"/>
          <w:szCs w:val="26"/>
        </w:rPr>
      </w:pPr>
      <w:r w:rsidRPr="00696DF9">
        <w:rPr>
          <w:rFonts w:ascii="Segoe UI" w:eastAsia="Times New Roman" w:hAnsi="Segoe UI" w:cs="Segoe UI"/>
          <w:color w:val="212529"/>
          <w:sz w:val="26"/>
          <w:szCs w:val="26"/>
        </w:rPr>
        <w:t>b) Picaduras de insectos.</w:t>
      </w:r>
    </w:p>
    <w:p w:rsidR="00696DF9" w:rsidRPr="00696DF9" w:rsidRDefault="00696DF9" w:rsidP="00696DF9">
      <w:pPr>
        <w:numPr>
          <w:ilvl w:val="0"/>
          <w:numId w:val="8"/>
        </w:numPr>
        <w:spacing w:before="100" w:beforeAutospacing="1" w:after="100" w:afterAutospacing="1" w:line="360" w:lineRule="atLeast"/>
        <w:jc w:val="both"/>
        <w:rPr>
          <w:rFonts w:ascii="Segoe UI" w:eastAsia="Times New Roman" w:hAnsi="Segoe UI" w:cs="Segoe UI"/>
          <w:color w:val="212529"/>
          <w:sz w:val="26"/>
          <w:szCs w:val="26"/>
        </w:rPr>
      </w:pPr>
      <w:r w:rsidRPr="00696DF9">
        <w:rPr>
          <w:rFonts w:ascii="Segoe UI" w:eastAsia="Times New Roman" w:hAnsi="Segoe UI" w:cs="Segoe UI"/>
          <w:color w:val="212529"/>
          <w:sz w:val="26"/>
          <w:szCs w:val="26"/>
        </w:rPr>
        <w:t>c) Urticaria pigmentosa.</w:t>
      </w:r>
    </w:p>
    <w:p w:rsidR="00696DF9" w:rsidRPr="00696DF9" w:rsidRDefault="00696DF9" w:rsidP="00696DF9">
      <w:pPr>
        <w:numPr>
          <w:ilvl w:val="0"/>
          <w:numId w:val="8"/>
        </w:numPr>
        <w:spacing w:before="100" w:beforeAutospacing="1" w:after="100" w:afterAutospacing="1" w:line="360" w:lineRule="atLeast"/>
        <w:jc w:val="both"/>
        <w:rPr>
          <w:rFonts w:ascii="Segoe UI" w:eastAsia="Times New Roman" w:hAnsi="Segoe UI" w:cs="Segoe UI"/>
          <w:color w:val="4DBF32"/>
          <w:sz w:val="26"/>
          <w:szCs w:val="26"/>
          <w:lang w:val="es-ES"/>
        </w:rPr>
      </w:pPr>
      <w:r w:rsidRPr="00696DF9">
        <w:rPr>
          <w:rFonts w:ascii="Segoe UI" w:eastAsia="Times New Roman" w:hAnsi="Segoe UI" w:cs="Segoe UI"/>
          <w:color w:val="4DBF32"/>
          <w:sz w:val="26"/>
          <w:szCs w:val="26"/>
          <w:lang w:val="es-ES"/>
        </w:rPr>
        <w:t>d) Eritrodermia o síndrome del hombre rojo.</w:t>
      </w:r>
    </w:p>
    <w:p w:rsidR="00696DF9" w:rsidRPr="00696DF9" w:rsidRDefault="00696DF9" w:rsidP="00696DF9">
      <w:pPr>
        <w:numPr>
          <w:ilvl w:val="0"/>
          <w:numId w:val="8"/>
        </w:numPr>
        <w:spacing w:before="100" w:beforeAutospacing="1" w:after="100" w:afterAutospacing="1" w:line="360" w:lineRule="atLeast"/>
        <w:jc w:val="both"/>
        <w:rPr>
          <w:rFonts w:ascii="Segoe UI" w:eastAsia="Times New Roman" w:hAnsi="Segoe UI" w:cs="Segoe UI"/>
          <w:color w:val="212529"/>
          <w:sz w:val="26"/>
          <w:szCs w:val="26"/>
          <w:lang w:val="es-ES"/>
        </w:rPr>
      </w:pPr>
      <w:r w:rsidRPr="00696DF9">
        <w:rPr>
          <w:rFonts w:ascii="Segoe UI" w:eastAsia="Times New Roman" w:hAnsi="Segoe UI" w:cs="Segoe UI"/>
          <w:color w:val="212529"/>
          <w:sz w:val="26"/>
          <w:szCs w:val="26"/>
          <w:lang w:val="es-ES"/>
        </w:rPr>
        <w:t>e) Urticaria familiar por frío.</w:t>
      </w:r>
    </w:p>
    <w:p w:rsidR="00696DF9" w:rsidRPr="00696DF9" w:rsidRDefault="00696DF9" w:rsidP="00696DF9">
      <w:pPr>
        <w:spacing w:line="360" w:lineRule="atLeast"/>
        <w:jc w:val="both"/>
        <w:rPr>
          <w:rFonts w:ascii="Segoe UI" w:eastAsia="Times New Roman" w:hAnsi="Segoe UI" w:cs="Segoe UI"/>
          <w:color w:val="212529"/>
          <w:sz w:val="24"/>
          <w:szCs w:val="24"/>
          <w:lang w:val="es-ES"/>
        </w:rPr>
      </w:pPr>
      <w:r w:rsidRPr="00696DF9">
        <w:rPr>
          <w:rFonts w:ascii="Segoe UI" w:eastAsia="Times New Roman" w:hAnsi="Segoe UI" w:cs="Segoe UI"/>
          <w:b/>
          <w:bCs/>
          <w:color w:val="212529"/>
          <w:sz w:val="24"/>
          <w:szCs w:val="24"/>
          <w:lang w:val="es-ES"/>
        </w:rPr>
        <w:t>Explicación:</w:t>
      </w:r>
      <w:r w:rsidRPr="00696DF9">
        <w:rPr>
          <w:rFonts w:ascii="Segoe UI" w:eastAsia="Times New Roman" w:hAnsi="Segoe UI" w:cs="Segoe UI"/>
          <w:color w:val="212529"/>
          <w:sz w:val="24"/>
          <w:szCs w:val="24"/>
          <w:lang w:val="es-ES"/>
        </w:rPr>
        <w:t> La eritrodermia o “síndrome del hombre rojo” es una reacción cutánea caracterizada por enrojecimiento del 90 % o más de la piel, asociado a malestar general y linfadenopatías, careciendo de habones o lesiones confundibles con la erupción de la urticaria crónica, por lo que no se establece el diagnóstico diferencial con ella.</w:t>
      </w:r>
    </w:p>
    <w:p w:rsidR="00696DF9" w:rsidRPr="00696DF9" w:rsidRDefault="00696DF9" w:rsidP="00696DF9">
      <w:pPr>
        <w:shd w:val="clear" w:color="auto" w:fill="4DBF32"/>
        <w:spacing w:before="100" w:beforeAutospacing="1" w:after="100" w:afterAutospacing="1" w:line="360" w:lineRule="atLeast"/>
        <w:jc w:val="both"/>
        <w:rPr>
          <w:rFonts w:ascii="Arial" w:eastAsia="Times New Roman" w:hAnsi="Arial" w:cs="Arial"/>
          <w:color w:val="FFFFFF"/>
          <w:sz w:val="21"/>
          <w:szCs w:val="21"/>
          <w:lang w:val="es-ES"/>
        </w:rPr>
      </w:pPr>
      <w:r w:rsidRPr="00696DF9">
        <w:rPr>
          <w:rFonts w:ascii="Arial" w:eastAsia="Times New Roman" w:hAnsi="Arial" w:cs="Arial"/>
          <w:color w:val="FFFFFF"/>
          <w:sz w:val="21"/>
          <w:szCs w:val="21"/>
          <w:lang w:val="es-ES"/>
        </w:rPr>
        <w:t>Usted contestó correctamente a esta pregunta</w:t>
      </w:r>
    </w:p>
    <w:p w:rsidR="00696DF9" w:rsidRPr="00696DF9" w:rsidRDefault="00696DF9" w:rsidP="00696DF9">
      <w:pPr>
        <w:spacing w:before="100" w:beforeAutospacing="1" w:after="100" w:afterAutospacing="1" w:line="360" w:lineRule="atLeast"/>
        <w:jc w:val="both"/>
        <w:rPr>
          <w:rFonts w:ascii="Arial" w:eastAsia="Times New Roman" w:hAnsi="Arial" w:cs="Arial"/>
          <w:b/>
          <w:bCs/>
          <w:color w:val="212529"/>
          <w:sz w:val="26"/>
          <w:szCs w:val="26"/>
          <w:lang w:val="es-ES"/>
        </w:rPr>
      </w:pPr>
      <w:r w:rsidRPr="00696DF9">
        <w:rPr>
          <w:rFonts w:ascii="Arial" w:eastAsia="Times New Roman" w:hAnsi="Arial" w:cs="Arial"/>
          <w:b/>
          <w:bCs/>
          <w:color w:val="212529"/>
          <w:sz w:val="26"/>
          <w:szCs w:val="26"/>
          <w:lang w:val="es-ES"/>
        </w:rPr>
        <w:t>9. ¿Cuál de los siguientes antihistamínicos no es de 2.ª generación o no sedante?:</w:t>
      </w:r>
    </w:p>
    <w:p w:rsidR="00696DF9" w:rsidRPr="00696DF9" w:rsidRDefault="00696DF9" w:rsidP="00696DF9">
      <w:pPr>
        <w:numPr>
          <w:ilvl w:val="0"/>
          <w:numId w:val="9"/>
        </w:numPr>
        <w:spacing w:before="100" w:beforeAutospacing="1" w:after="100" w:afterAutospacing="1" w:line="360" w:lineRule="atLeast"/>
        <w:jc w:val="both"/>
        <w:rPr>
          <w:rFonts w:ascii="Segoe UI" w:eastAsia="Times New Roman" w:hAnsi="Segoe UI" w:cs="Segoe UI"/>
          <w:color w:val="4DBF32"/>
          <w:sz w:val="26"/>
          <w:szCs w:val="26"/>
        </w:rPr>
      </w:pPr>
      <w:r w:rsidRPr="00696DF9">
        <w:rPr>
          <w:rFonts w:ascii="Segoe UI" w:eastAsia="Times New Roman" w:hAnsi="Segoe UI" w:cs="Segoe UI"/>
          <w:color w:val="4DBF32"/>
          <w:sz w:val="26"/>
          <w:szCs w:val="26"/>
        </w:rPr>
        <w:t>a) Hidroxizina.</w:t>
      </w:r>
    </w:p>
    <w:p w:rsidR="00696DF9" w:rsidRPr="00696DF9" w:rsidRDefault="00696DF9" w:rsidP="00696DF9">
      <w:pPr>
        <w:numPr>
          <w:ilvl w:val="0"/>
          <w:numId w:val="9"/>
        </w:numPr>
        <w:spacing w:before="100" w:beforeAutospacing="1" w:after="100" w:afterAutospacing="1" w:line="360" w:lineRule="atLeast"/>
        <w:jc w:val="both"/>
        <w:rPr>
          <w:rFonts w:ascii="Segoe UI" w:eastAsia="Times New Roman" w:hAnsi="Segoe UI" w:cs="Segoe UI"/>
          <w:color w:val="212529"/>
          <w:sz w:val="26"/>
          <w:szCs w:val="26"/>
        </w:rPr>
      </w:pPr>
      <w:r w:rsidRPr="00696DF9">
        <w:rPr>
          <w:rFonts w:ascii="Segoe UI" w:eastAsia="Times New Roman" w:hAnsi="Segoe UI" w:cs="Segoe UI"/>
          <w:color w:val="212529"/>
          <w:sz w:val="26"/>
          <w:szCs w:val="26"/>
        </w:rPr>
        <w:t>b) Cetirizina.</w:t>
      </w:r>
    </w:p>
    <w:p w:rsidR="00696DF9" w:rsidRPr="00696DF9" w:rsidRDefault="00696DF9" w:rsidP="00696DF9">
      <w:pPr>
        <w:numPr>
          <w:ilvl w:val="0"/>
          <w:numId w:val="9"/>
        </w:numPr>
        <w:spacing w:before="100" w:beforeAutospacing="1" w:after="100" w:afterAutospacing="1" w:line="360" w:lineRule="atLeast"/>
        <w:jc w:val="both"/>
        <w:rPr>
          <w:rFonts w:ascii="Segoe UI" w:eastAsia="Times New Roman" w:hAnsi="Segoe UI" w:cs="Segoe UI"/>
          <w:color w:val="212529"/>
          <w:sz w:val="26"/>
          <w:szCs w:val="26"/>
        </w:rPr>
      </w:pPr>
      <w:r w:rsidRPr="00696DF9">
        <w:rPr>
          <w:rFonts w:ascii="Segoe UI" w:eastAsia="Times New Roman" w:hAnsi="Segoe UI" w:cs="Segoe UI"/>
          <w:color w:val="212529"/>
          <w:sz w:val="26"/>
          <w:szCs w:val="26"/>
        </w:rPr>
        <w:t>c) Loratadina.</w:t>
      </w:r>
    </w:p>
    <w:p w:rsidR="00696DF9" w:rsidRPr="00696DF9" w:rsidRDefault="00696DF9" w:rsidP="00696DF9">
      <w:pPr>
        <w:numPr>
          <w:ilvl w:val="0"/>
          <w:numId w:val="9"/>
        </w:numPr>
        <w:spacing w:before="100" w:beforeAutospacing="1" w:after="100" w:afterAutospacing="1" w:line="360" w:lineRule="atLeast"/>
        <w:jc w:val="both"/>
        <w:rPr>
          <w:rFonts w:ascii="Segoe UI" w:eastAsia="Times New Roman" w:hAnsi="Segoe UI" w:cs="Segoe UI"/>
          <w:color w:val="212529"/>
          <w:sz w:val="26"/>
          <w:szCs w:val="26"/>
        </w:rPr>
      </w:pPr>
      <w:r w:rsidRPr="00696DF9">
        <w:rPr>
          <w:rFonts w:ascii="Segoe UI" w:eastAsia="Times New Roman" w:hAnsi="Segoe UI" w:cs="Segoe UI"/>
          <w:color w:val="212529"/>
          <w:sz w:val="26"/>
          <w:szCs w:val="26"/>
        </w:rPr>
        <w:t>d) Ebastina.</w:t>
      </w:r>
    </w:p>
    <w:p w:rsidR="00696DF9" w:rsidRPr="00696DF9" w:rsidRDefault="00696DF9" w:rsidP="00696DF9">
      <w:pPr>
        <w:numPr>
          <w:ilvl w:val="0"/>
          <w:numId w:val="9"/>
        </w:numPr>
        <w:spacing w:before="100" w:beforeAutospacing="1" w:after="100" w:afterAutospacing="1" w:line="360" w:lineRule="atLeast"/>
        <w:jc w:val="both"/>
        <w:rPr>
          <w:rFonts w:ascii="Segoe UI" w:eastAsia="Times New Roman" w:hAnsi="Segoe UI" w:cs="Segoe UI"/>
          <w:color w:val="212529"/>
          <w:sz w:val="26"/>
          <w:szCs w:val="26"/>
        </w:rPr>
      </w:pPr>
      <w:r w:rsidRPr="00696DF9">
        <w:rPr>
          <w:rFonts w:ascii="Segoe UI" w:eastAsia="Times New Roman" w:hAnsi="Segoe UI" w:cs="Segoe UI"/>
          <w:color w:val="212529"/>
          <w:sz w:val="26"/>
          <w:szCs w:val="26"/>
        </w:rPr>
        <w:t>e) Rupatadina.</w:t>
      </w:r>
    </w:p>
    <w:p w:rsidR="00696DF9" w:rsidRPr="00696DF9" w:rsidRDefault="00696DF9" w:rsidP="00696DF9">
      <w:pPr>
        <w:spacing w:line="360" w:lineRule="atLeast"/>
        <w:jc w:val="both"/>
        <w:rPr>
          <w:rFonts w:ascii="Segoe UI" w:eastAsia="Times New Roman" w:hAnsi="Segoe UI" w:cs="Segoe UI"/>
          <w:color w:val="212529"/>
          <w:sz w:val="24"/>
          <w:szCs w:val="24"/>
          <w:lang w:val="es-ES"/>
        </w:rPr>
      </w:pPr>
      <w:r w:rsidRPr="00696DF9">
        <w:rPr>
          <w:rFonts w:ascii="Segoe UI" w:eastAsia="Times New Roman" w:hAnsi="Segoe UI" w:cs="Segoe UI"/>
          <w:b/>
          <w:bCs/>
          <w:color w:val="212529"/>
          <w:sz w:val="24"/>
          <w:szCs w:val="24"/>
          <w:lang w:val="es-ES"/>
        </w:rPr>
        <w:t>Explicación:</w:t>
      </w:r>
      <w:r w:rsidRPr="00696DF9">
        <w:rPr>
          <w:rFonts w:ascii="Segoe UI" w:eastAsia="Times New Roman" w:hAnsi="Segoe UI" w:cs="Segoe UI"/>
          <w:color w:val="212529"/>
          <w:sz w:val="24"/>
          <w:szCs w:val="24"/>
          <w:lang w:val="es-ES"/>
        </w:rPr>
        <w:t xml:space="preserve"> Los antihistamínicos no sedantes comercializados que se utilizan de manera habitual en España son: levocetirizina (5 mg/día), cetirizina (10 mg/día), desloratadina (5 </w:t>
      </w:r>
      <w:r w:rsidRPr="00696DF9">
        <w:rPr>
          <w:rFonts w:ascii="Segoe UI" w:eastAsia="Times New Roman" w:hAnsi="Segoe UI" w:cs="Segoe UI"/>
          <w:color w:val="212529"/>
          <w:sz w:val="24"/>
          <w:szCs w:val="24"/>
          <w:lang w:val="es-ES"/>
        </w:rPr>
        <w:lastRenderedPageBreak/>
        <w:t>mg/día), fexofenadina (120-180 mg/día), loratadina (10 mg/día), mizolastina (10 mg/día), rupatadina (10 mg/día), bilastina (20 mg/día) y ebastina (10-20 mg/día). Hidroxizina pertenece a los antihistamínicos de 1.ª generación o sedantes.</w:t>
      </w:r>
    </w:p>
    <w:p w:rsidR="00696DF9" w:rsidRPr="00696DF9" w:rsidRDefault="00696DF9" w:rsidP="00696DF9">
      <w:pPr>
        <w:shd w:val="clear" w:color="auto" w:fill="4DBF32"/>
        <w:spacing w:before="100" w:beforeAutospacing="1" w:after="100" w:afterAutospacing="1" w:line="360" w:lineRule="atLeast"/>
        <w:jc w:val="both"/>
        <w:rPr>
          <w:rFonts w:ascii="Arial" w:eastAsia="Times New Roman" w:hAnsi="Arial" w:cs="Arial"/>
          <w:color w:val="FFFFFF"/>
          <w:sz w:val="21"/>
          <w:szCs w:val="21"/>
          <w:lang w:val="es-ES"/>
        </w:rPr>
      </w:pPr>
      <w:r w:rsidRPr="00696DF9">
        <w:rPr>
          <w:rFonts w:ascii="Arial" w:eastAsia="Times New Roman" w:hAnsi="Arial" w:cs="Arial"/>
          <w:color w:val="FFFFFF"/>
          <w:sz w:val="21"/>
          <w:szCs w:val="21"/>
          <w:lang w:val="es-ES"/>
        </w:rPr>
        <w:t>Usted contestó correctamente a esta pregunta</w:t>
      </w:r>
    </w:p>
    <w:p w:rsidR="00696DF9" w:rsidRPr="00696DF9" w:rsidRDefault="00696DF9" w:rsidP="00696DF9">
      <w:pPr>
        <w:spacing w:before="100" w:beforeAutospacing="1" w:after="100" w:afterAutospacing="1" w:line="360" w:lineRule="atLeast"/>
        <w:jc w:val="both"/>
        <w:rPr>
          <w:rFonts w:ascii="Arial" w:eastAsia="Times New Roman" w:hAnsi="Arial" w:cs="Arial"/>
          <w:b/>
          <w:bCs/>
          <w:color w:val="212529"/>
          <w:sz w:val="26"/>
          <w:szCs w:val="26"/>
          <w:lang w:val="es-ES"/>
        </w:rPr>
      </w:pPr>
      <w:r w:rsidRPr="00696DF9">
        <w:rPr>
          <w:rFonts w:ascii="Arial" w:eastAsia="Times New Roman" w:hAnsi="Arial" w:cs="Arial"/>
          <w:b/>
          <w:bCs/>
          <w:color w:val="212529"/>
          <w:sz w:val="26"/>
          <w:szCs w:val="26"/>
          <w:lang w:val="es-ES"/>
        </w:rPr>
        <w:t>10. ¿Cuál de los siguientes enunciados respecto al tratamiento de la urticaria crónica es cierto?:</w:t>
      </w:r>
    </w:p>
    <w:p w:rsidR="00696DF9" w:rsidRPr="00696DF9" w:rsidRDefault="00696DF9" w:rsidP="00696DF9">
      <w:pPr>
        <w:numPr>
          <w:ilvl w:val="0"/>
          <w:numId w:val="10"/>
        </w:numPr>
        <w:spacing w:before="100" w:beforeAutospacing="1" w:after="100" w:afterAutospacing="1" w:line="360" w:lineRule="atLeast"/>
        <w:jc w:val="both"/>
        <w:rPr>
          <w:rFonts w:ascii="Segoe UI" w:eastAsia="Times New Roman" w:hAnsi="Segoe UI" w:cs="Segoe UI"/>
          <w:color w:val="212529"/>
          <w:sz w:val="26"/>
          <w:szCs w:val="26"/>
          <w:lang w:val="es-ES"/>
        </w:rPr>
      </w:pPr>
      <w:r w:rsidRPr="00696DF9">
        <w:rPr>
          <w:rFonts w:ascii="Segoe UI" w:eastAsia="Times New Roman" w:hAnsi="Segoe UI" w:cs="Segoe UI"/>
          <w:color w:val="212529"/>
          <w:sz w:val="26"/>
          <w:szCs w:val="26"/>
          <w:lang w:val="es-ES"/>
        </w:rPr>
        <w:t>a) Los corticoides sistémicos son la primera elección en los pacientes con urticaria crónica.</w:t>
      </w:r>
    </w:p>
    <w:p w:rsidR="00696DF9" w:rsidRPr="00696DF9" w:rsidRDefault="00696DF9" w:rsidP="00696DF9">
      <w:pPr>
        <w:numPr>
          <w:ilvl w:val="0"/>
          <w:numId w:val="10"/>
        </w:numPr>
        <w:spacing w:before="100" w:beforeAutospacing="1" w:after="100" w:afterAutospacing="1" w:line="360" w:lineRule="atLeast"/>
        <w:jc w:val="both"/>
        <w:rPr>
          <w:rFonts w:ascii="Segoe UI" w:eastAsia="Times New Roman" w:hAnsi="Segoe UI" w:cs="Segoe UI"/>
          <w:color w:val="4DBF32"/>
          <w:sz w:val="26"/>
          <w:szCs w:val="26"/>
          <w:lang w:val="es-ES"/>
        </w:rPr>
      </w:pPr>
      <w:r w:rsidRPr="00696DF9">
        <w:rPr>
          <w:rFonts w:ascii="Segoe UI" w:eastAsia="Times New Roman" w:hAnsi="Segoe UI" w:cs="Segoe UI"/>
          <w:color w:val="4DBF32"/>
          <w:sz w:val="26"/>
          <w:szCs w:val="26"/>
          <w:lang w:val="es-ES"/>
        </w:rPr>
        <w:t>b) El primer escalón farmacológico en los pacientes con urticaria crónica comienza con los antihistamínicos H1 (anti-H1) no sedantes o de 2.ª generación.</w:t>
      </w:r>
    </w:p>
    <w:p w:rsidR="00696DF9" w:rsidRPr="00696DF9" w:rsidRDefault="00696DF9" w:rsidP="00696DF9">
      <w:pPr>
        <w:numPr>
          <w:ilvl w:val="0"/>
          <w:numId w:val="10"/>
        </w:numPr>
        <w:spacing w:before="100" w:beforeAutospacing="1" w:after="100" w:afterAutospacing="1" w:line="360" w:lineRule="atLeast"/>
        <w:jc w:val="both"/>
        <w:rPr>
          <w:rFonts w:ascii="Segoe UI" w:eastAsia="Times New Roman" w:hAnsi="Segoe UI" w:cs="Segoe UI"/>
          <w:color w:val="212529"/>
          <w:sz w:val="26"/>
          <w:szCs w:val="26"/>
          <w:lang w:val="es-ES"/>
        </w:rPr>
      </w:pPr>
      <w:r w:rsidRPr="00696DF9">
        <w:rPr>
          <w:rFonts w:ascii="Segoe UI" w:eastAsia="Times New Roman" w:hAnsi="Segoe UI" w:cs="Segoe UI"/>
          <w:color w:val="212529"/>
          <w:sz w:val="26"/>
          <w:szCs w:val="26"/>
          <w:lang w:val="es-ES"/>
        </w:rPr>
        <w:t>c) Omalizumab no es una opción aprobada para tratar pacientes con urticaria crónica.</w:t>
      </w:r>
    </w:p>
    <w:p w:rsidR="00696DF9" w:rsidRPr="00696DF9" w:rsidRDefault="00696DF9" w:rsidP="00696DF9">
      <w:pPr>
        <w:numPr>
          <w:ilvl w:val="0"/>
          <w:numId w:val="10"/>
        </w:numPr>
        <w:spacing w:before="100" w:beforeAutospacing="1" w:after="100" w:afterAutospacing="1" w:line="360" w:lineRule="atLeast"/>
        <w:jc w:val="both"/>
        <w:rPr>
          <w:rFonts w:ascii="Segoe UI" w:eastAsia="Times New Roman" w:hAnsi="Segoe UI" w:cs="Segoe UI"/>
          <w:color w:val="212529"/>
          <w:sz w:val="26"/>
          <w:szCs w:val="26"/>
          <w:lang w:val="es-ES"/>
        </w:rPr>
      </w:pPr>
      <w:r w:rsidRPr="00696DF9">
        <w:rPr>
          <w:rFonts w:ascii="Segoe UI" w:eastAsia="Times New Roman" w:hAnsi="Segoe UI" w:cs="Segoe UI"/>
          <w:color w:val="212529"/>
          <w:sz w:val="26"/>
          <w:szCs w:val="26"/>
          <w:lang w:val="es-ES"/>
        </w:rPr>
        <w:t>d) Los antihistamínicos sedantes o de 1.ª generación se recomiendan antes que los de 2.ª generación.</w:t>
      </w:r>
    </w:p>
    <w:p w:rsidR="00696DF9" w:rsidRPr="00696DF9" w:rsidRDefault="00696DF9" w:rsidP="00696DF9">
      <w:pPr>
        <w:numPr>
          <w:ilvl w:val="0"/>
          <w:numId w:val="10"/>
        </w:numPr>
        <w:spacing w:before="100" w:beforeAutospacing="1" w:after="100" w:afterAutospacing="1" w:line="360" w:lineRule="atLeast"/>
        <w:jc w:val="both"/>
        <w:rPr>
          <w:rFonts w:ascii="Segoe UI" w:eastAsia="Times New Roman" w:hAnsi="Segoe UI" w:cs="Segoe UI"/>
          <w:color w:val="212529"/>
          <w:sz w:val="26"/>
          <w:szCs w:val="26"/>
          <w:lang w:val="es-ES"/>
        </w:rPr>
      </w:pPr>
      <w:r w:rsidRPr="00696DF9">
        <w:rPr>
          <w:rFonts w:ascii="Segoe UI" w:eastAsia="Times New Roman" w:hAnsi="Segoe UI" w:cs="Segoe UI"/>
          <w:color w:val="212529"/>
          <w:sz w:val="26"/>
          <w:szCs w:val="26"/>
          <w:lang w:val="es-ES"/>
        </w:rPr>
        <w:t>e) Ninguna guía nacional recomienda aumentar la dosis de antihistamínicos en pacientes con urticaria crónica que no responden a dosis licenciadas.</w:t>
      </w:r>
    </w:p>
    <w:p w:rsidR="00696DF9" w:rsidRPr="00696DF9" w:rsidRDefault="00696DF9" w:rsidP="00696DF9">
      <w:pPr>
        <w:spacing w:line="360" w:lineRule="atLeast"/>
        <w:jc w:val="both"/>
        <w:rPr>
          <w:rFonts w:ascii="Segoe UI" w:eastAsia="Times New Roman" w:hAnsi="Segoe UI" w:cs="Segoe UI"/>
          <w:color w:val="212529"/>
          <w:sz w:val="24"/>
          <w:szCs w:val="24"/>
          <w:lang w:val="es-ES"/>
        </w:rPr>
      </w:pPr>
      <w:r w:rsidRPr="00696DF9">
        <w:rPr>
          <w:rFonts w:ascii="Segoe UI" w:eastAsia="Times New Roman" w:hAnsi="Segoe UI" w:cs="Segoe UI"/>
          <w:b/>
          <w:bCs/>
          <w:color w:val="212529"/>
          <w:sz w:val="24"/>
          <w:szCs w:val="24"/>
          <w:lang w:val="es-ES"/>
        </w:rPr>
        <w:t>Explicación:</w:t>
      </w:r>
      <w:r w:rsidRPr="00696DF9">
        <w:rPr>
          <w:rFonts w:ascii="Segoe UI" w:eastAsia="Times New Roman" w:hAnsi="Segoe UI" w:cs="Segoe UI"/>
          <w:color w:val="212529"/>
          <w:sz w:val="24"/>
          <w:szCs w:val="24"/>
          <w:lang w:val="es-ES"/>
        </w:rPr>
        <w:t> El primer escalón farmacológico que recomiendan todas las guías tanto nacionales como internacionales en urticaria crónica leve a moderada comienza con los antihistamínicos H1 (anti-H1) no sedantes o de 2.ª generación, a dosis licenciadas, con un nivel de evidencia y un grado de recomendación de primer orden. El resto de las respuestas son falsas.</w:t>
      </w:r>
    </w:p>
    <w:p w:rsidR="00696DF9" w:rsidRPr="00696DF9" w:rsidRDefault="00696DF9" w:rsidP="00696DF9">
      <w:pPr>
        <w:shd w:val="clear" w:color="auto" w:fill="4DBF32"/>
        <w:spacing w:before="100" w:beforeAutospacing="1" w:after="100" w:afterAutospacing="1" w:line="360" w:lineRule="atLeast"/>
        <w:jc w:val="both"/>
        <w:rPr>
          <w:rFonts w:ascii="Arial" w:eastAsia="Times New Roman" w:hAnsi="Arial" w:cs="Arial"/>
          <w:color w:val="FFFFFF"/>
          <w:sz w:val="21"/>
          <w:szCs w:val="21"/>
          <w:lang w:val="es-ES"/>
        </w:rPr>
      </w:pPr>
      <w:r w:rsidRPr="00696DF9">
        <w:rPr>
          <w:rFonts w:ascii="Arial" w:eastAsia="Times New Roman" w:hAnsi="Arial" w:cs="Arial"/>
          <w:color w:val="FFFFFF"/>
          <w:sz w:val="21"/>
          <w:szCs w:val="21"/>
          <w:lang w:val="es-ES"/>
        </w:rPr>
        <w:t>Usted contestó correctamente a esta pregunta</w:t>
      </w:r>
    </w:p>
    <w:p w:rsidR="00696DF9" w:rsidRPr="00696DF9" w:rsidRDefault="00696DF9" w:rsidP="00696DF9">
      <w:pPr>
        <w:spacing w:before="100" w:beforeAutospacing="1" w:after="100" w:afterAutospacing="1" w:line="360" w:lineRule="atLeast"/>
        <w:jc w:val="both"/>
        <w:rPr>
          <w:rFonts w:ascii="Arial" w:eastAsia="Times New Roman" w:hAnsi="Arial" w:cs="Arial"/>
          <w:b/>
          <w:bCs/>
          <w:color w:val="212529"/>
          <w:sz w:val="26"/>
          <w:szCs w:val="26"/>
          <w:lang w:val="es-ES"/>
        </w:rPr>
      </w:pPr>
      <w:r w:rsidRPr="00696DF9">
        <w:rPr>
          <w:rFonts w:ascii="Arial" w:eastAsia="Times New Roman" w:hAnsi="Arial" w:cs="Arial"/>
          <w:b/>
          <w:bCs/>
          <w:color w:val="212529"/>
          <w:sz w:val="26"/>
          <w:szCs w:val="26"/>
          <w:lang w:val="es-ES"/>
        </w:rPr>
        <w:t>11. ¿Cuál de los siguientes enunciados respecto al tratamiento de la urticaria crónica es falso?:</w:t>
      </w:r>
    </w:p>
    <w:p w:rsidR="00696DF9" w:rsidRPr="00696DF9" w:rsidRDefault="00696DF9" w:rsidP="00696DF9">
      <w:pPr>
        <w:numPr>
          <w:ilvl w:val="0"/>
          <w:numId w:val="11"/>
        </w:numPr>
        <w:spacing w:before="100" w:beforeAutospacing="1" w:after="100" w:afterAutospacing="1" w:line="360" w:lineRule="atLeast"/>
        <w:jc w:val="both"/>
        <w:rPr>
          <w:rFonts w:ascii="Segoe UI" w:eastAsia="Times New Roman" w:hAnsi="Segoe UI" w:cs="Segoe UI"/>
          <w:color w:val="212529"/>
          <w:sz w:val="26"/>
          <w:szCs w:val="26"/>
          <w:lang w:val="es-ES"/>
        </w:rPr>
      </w:pPr>
      <w:r w:rsidRPr="00696DF9">
        <w:rPr>
          <w:rFonts w:ascii="Segoe UI" w:eastAsia="Times New Roman" w:hAnsi="Segoe UI" w:cs="Segoe UI"/>
          <w:color w:val="212529"/>
          <w:sz w:val="26"/>
          <w:szCs w:val="26"/>
          <w:lang w:val="es-ES"/>
        </w:rPr>
        <w:t>a) Varias guías recomiendan el uso de corticoides sistémicos durante cortos periodos de tiempo en pacientes con brotes graves de urticaria crónica.</w:t>
      </w:r>
    </w:p>
    <w:p w:rsidR="00696DF9" w:rsidRPr="00696DF9" w:rsidRDefault="00696DF9" w:rsidP="00696DF9">
      <w:pPr>
        <w:numPr>
          <w:ilvl w:val="0"/>
          <w:numId w:val="11"/>
        </w:numPr>
        <w:spacing w:before="100" w:beforeAutospacing="1" w:after="100" w:afterAutospacing="1" w:line="360" w:lineRule="atLeast"/>
        <w:jc w:val="both"/>
        <w:rPr>
          <w:rFonts w:ascii="Segoe UI" w:eastAsia="Times New Roman" w:hAnsi="Segoe UI" w:cs="Segoe UI"/>
          <w:color w:val="212529"/>
          <w:sz w:val="26"/>
          <w:szCs w:val="26"/>
          <w:lang w:val="es-ES"/>
        </w:rPr>
      </w:pPr>
      <w:r w:rsidRPr="00696DF9">
        <w:rPr>
          <w:rFonts w:ascii="Segoe UI" w:eastAsia="Times New Roman" w:hAnsi="Segoe UI" w:cs="Segoe UI"/>
          <w:color w:val="212529"/>
          <w:sz w:val="26"/>
          <w:szCs w:val="26"/>
          <w:lang w:val="es-ES"/>
        </w:rPr>
        <w:t>b) El segundo escalón farmacológico en los pacientes con urticaria crónica es habitualmente el aumento hasta 4 veces de los antihistamínicos H1 (anti-H1) no sedantes o de 2.ª generación.</w:t>
      </w:r>
    </w:p>
    <w:p w:rsidR="00696DF9" w:rsidRPr="00696DF9" w:rsidRDefault="00696DF9" w:rsidP="00696DF9">
      <w:pPr>
        <w:numPr>
          <w:ilvl w:val="0"/>
          <w:numId w:val="11"/>
        </w:numPr>
        <w:spacing w:before="100" w:beforeAutospacing="1" w:after="100" w:afterAutospacing="1" w:line="360" w:lineRule="atLeast"/>
        <w:jc w:val="both"/>
        <w:rPr>
          <w:rFonts w:ascii="Segoe UI" w:eastAsia="Times New Roman" w:hAnsi="Segoe UI" w:cs="Segoe UI"/>
          <w:color w:val="212529"/>
          <w:sz w:val="26"/>
          <w:szCs w:val="26"/>
          <w:lang w:val="es-ES"/>
        </w:rPr>
      </w:pPr>
      <w:r w:rsidRPr="00696DF9">
        <w:rPr>
          <w:rFonts w:ascii="Segoe UI" w:eastAsia="Times New Roman" w:hAnsi="Segoe UI" w:cs="Segoe UI"/>
          <w:color w:val="212529"/>
          <w:sz w:val="26"/>
          <w:szCs w:val="26"/>
          <w:lang w:val="es-ES"/>
        </w:rPr>
        <w:lastRenderedPageBreak/>
        <w:t>c) Se ha descrito que omalizumab funciona hasta en el 75-80 % de los pacientes con urticaria crónica.</w:t>
      </w:r>
    </w:p>
    <w:p w:rsidR="00696DF9" w:rsidRPr="00696DF9" w:rsidRDefault="00696DF9" w:rsidP="00696DF9">
      <w:pPr>
        <w:numPr>
          <w:ilvl w:val="0"/>
          <w:numId w:val="11"/>
        </w:numPr>
        <w:spacing w:before="100" w:beforeAutospacing="1" w:after="100" w:afterAutospacing="1" w:line="360" w:lineRule="atLeast"/>
        <w:jc w:val="both"/>
        <w:rPr>
          <w:rFonts w:ascii="Segoe UI" w:eastAsia="Times New Roman" w:hAnsi="Segoe UI" w:cs="Segoe UI"/>
          <w:color w:val="4DBF32"/>
          <w:sz w:val="26"/>
          <w:szCs w:val="26"/>
          <w:lang w:val="es-ES"/>
        </w:rPr>
      </w:pPr>
      <w:r w:rsidRPr="00696DF9">
        <w:rPr>
          <w:rFonts w:ascii="Segoe UI" w:eastAsia="Times New Roman" w:hAnsi="Segoe UI" w:cs="Segoe UI"/>
          <w:color w:val="4DBF32"/>
          <w:sz w:val="26"/>
          <w:szCs w:val="26"/>
          <w:lang w:val="es-ES"/>
        </w:rPr>
        <w:t>d) Los antihistamínicos sedantes utilizados en pacientes pediátricos no presentan ningún efecto negativo en el rendimiento escolar.</w:t>
      </w:r>
    </w:p>
    <w:p w:rsidR="00696DF9" w:rsidRPr="00696DF9" w:rsidRDefault="00696DF9" w:rsidP="00696DF9">
      <w:pPr>
        <w:numPr>
          <w:ilvl w:val="0"/>
          <w:numId w:val="11"/>
        </w:numPr>
        <w:spacing w:before="100" w:beforeAutospacing="1" w:after="100" w:afterAutospacing="1" w:line="360" w:lineRule="atLeast"/>
        <w:jc w:val="both"/>
        <w:rPr>
          <w:rFonts w:ascii="Segoe UI" w:eastAsia="Times New Roman" w:hAnsi="Segoe UI" w:cs="Segoe UI"/>
          <w:color w:val="212529"/>
          <w:sz w:val="26"/>
          <w:szCs w:val="26"/>
          <w:lang w:val="es-ES"/>
        </w:rPr>
      </w:pPr>
      <w:r w:rsidRPr="00696DF9">
        <w:rPr>
          <w:rFonts w:ascii="Segoe UI" w:eastAsia="Times New Roman" w:hAnsi="Segoe UI" w:cs="Segoe UI"/>
          <w:color w:val="212529"/>
          <w:sz w:val="26"/>
          <w:szCs w:val="26"/>
          <w:lang w:val="es-ES"/>
        </w:rPr>
        <w:t>e) Identificar en cada paciente cuál o cuáles son los factores desencadenantes de los brotes de urticaria crónica para eliminarlos o reducirlos de manera significativa.</w:t>
      </w:r>
    </w:p>
    <w:p w:rsidR="00696DF9" w:rsidRPr="00696DF9" w:rsidRDefault="00696DF9" w:rsidP="00696DF9">
      <w:pPr>
        <w:spacing w:line="360" w:lineRule="atLeast"/>
        <w:jc w:val="both"/>
        <w:rPr>
          <w:rFonts w:ascii="Segoe UI" w:eastAsia="Times New Roman" w:hAnsi="Segoe UI" w:cs="Segoe UI"/>
          <w:color w:val="212529"/>
          <w:sz w:val="24"/>
          <w:szCs w:val="24"/>
          <w:lang w:val="es-ES"/>
        </w:rPr>
      </w:pPr>
      <w:r w:rsidRPr="00696DF9">
        <w:rPr>
          <w:rFonts w:ascii="Segoe UI" w:eastAsia="Times New Roman" w:hAnsi="Segoe UI" w:cs="Segoe UI"/>
          <w:b/>
          <w:bCs/>
          <w:color w:val="212529"/>
          <w:sz w:val="24"/>
          <w:szCs w:val="24"/>
          <w:lang w:val="es-ES"/>
        </w:rPr>
        <w:t>Explicación:</w:t>
      </w:r>
      <w:r w:rsidRPr="00696DF9">
        <w:rPr>
          <w:rFonts w:ascii="Segoe UI" w:eastAsia="Times New Roman" w:hAnsi="Segoe UI" w:cs="Segoe UI"/>
          <w:color w:val="212529"/>
          <w:sz w:val="24"/>
          <w:szCs w:val="24"/>
          <w:lang w:val="es-ES"/>
        </w:rPr>
        <w:t> Los antihistamínicos sedantes más empleados en pacientes pediátricos son dexclorfeniramina e hidroxizina, ya que pueden emplearse a partir de los 6 meses. Sin embargo, las últimas guías recomiendan evitarlos específicamente en función de su probable impacto negativo en el rendimiento escolar. El resto de los enunciados son ciertos.</w:t>
      </w:r>
    </w:p>
    <w:p w:rsidR="00696DF9" w:rsidRPr="00696DF9" w:rsidRDefault="00696DF9" w:rsidP="00696DF9">
      <w:pPr>
        <w:shd w:val="clear" w:color="auto" w:fill="4DBF32"/>
        <w:spacing w:before="100" w:beforeAutospacing="1" w:after="100" w:afterAutospacing="1" w:line="360" w:lineRule="atLeast"/>
        <w:jc w:val="both"/>
        <w:rPr>
          <w:rFonts w:ascii="Arial" w:eastAsia="Times New Roman" w:hAnsi="Arial" w:cs="Arial"/>
          <w:color w:val="FFFFFF"/>
          <w:sz w:val="21"/>
          <w:szCs w:val="21"/>
          <w:lang w:val="es-ES"/>
        </w:rPr>
      </w:pPr>
      <w:r w:rsidRPr="00696DF9">
        <w:rPr>
          <w:rFonts w:ascii="Arial" w:eastAsia="Times New Roman" w:hAnsi="Arial" w:cs="Arial"/>
          <w:color w:val="FFFFFF"/>
          <w:sz w:val="21"/>
          <w:szCs w:val="21"/>
          <w:lang w:val="es-ES"/>
        </w:rPr>
        <w:t>Usted contestó correctamente a esta pregunta</w:t>
      </w:r>
    </w:p>
    <w:p w:rsidR="00696DF9" w:rsidRPr="00696DF9" w:rsidRDefault="00696DF9" w:rsidP="00696DF9">
      <w:pPr>
        <w:spacing w:before="100" w:beforeAutospacing="1" w:after="100" w:afterAutospacing="1" w:line="360" w:lineRule="atLeast"/>
        <w:jc w:val="both"/>
        <w:rPr>
          <w:rFonts w:ascii="Arial" w:eastAsia="Times New Roman" w:hAnsi="Arial" w:cs="Arial"/>
          <w:b/>
          <w:bCs/>
          <w:color w:val="212529"/>
          <w:sz w:val="26"/>
          <w:szCs w:val="26"/>
          <w:lang w:val="es-ES"/>
        </w:rPr>
      </w:pPr>
      <w:r w:rsidRPr="00696DF9">
        <w:rPr>
          <w:rFonts w:ascii="Arial" w:eastAsia="Times New Roman" w:hAnsi="Arial" w:cs="Arial"/>
          <w:b/>
          <w:bCs/>
          <w:color w:val="212529"/>
          <w:sz w:val="26"/>
          <w:szCs w:val="26"/>
          <w:lang w:val="es-ES"/>
        </w:rPr>
        <w:t>12. ¿Cuál de los siguientes tratamientos no está incluido como monoterapia en el primer escalón de tratamiento en pacientes con urticaria crónica?:</w:t>
      </w:r>
    </w:p>
    <w:p w:rsidR="00696DF9" w:rsidRPr="00696DF9" w:rsidRDefault="00696DF9" w:rsidP="00696DF9">
      <w:pPr>
        <w:numPr>
          <w:ilvl w:val="0"/>
          <w:numId w:val="12"/>
        </w:numPr>
        <w:spacing w:before="100" w:beforeAutospacing="1" w:after="100" w:afterAutospacing="1" w:line="360" w:lineRule="atLeast"/>
        <w:jc w:val="both"/>
        <w:rPr>
          <w:rFonts w:ascii="Segoe UI" w:eastAsia="Times New Roman" w:hAnsi="Segoe UI" w:cs="Segoe UI"/>
          <w:color w:val="212529"/>
          <w:sz w:val="26"/>
          <w:szCs w:val="26"/>
        </w:rPr>
      </w:pPr>
      <w:r w:rsidRPr="00696DF9">
        <w:rPr>
          <w:rFonts w:ascii="Segoe UI" w:eastAsia="Times New Roman" w:hAnsi="Segoe UI" w:cs="Segoe UI"/>
          <w:color w:val="212529"/>
          <w:sz w:val="26"/>
          <w:szCs w:val="26"/>
        </w:rPr>
        <w:t>a) Bilastina.</w:t>
      </w:r>
    </w:p>
    <w:p w:rsidR="00696DF9" w:rsidRPr="00696DF9" w:rsidRDefault="00696DF9" w:rsidP="00696DF9">
      <w:pPr>
        <w:numPr>
          <w:ilvl w:val="0"/>
          <w:numId w:val="12"/>
        </w:numPr>
        <w:spacing w:before="100" w:beforeAutospacing="1" w:after="100" w:afterAutospacing="1" w:line="360" w:lineRule="atLeast"/>
        <w:jc w:val="both"/>
        <w:rPr>
          <w:rFonts w:ascii="Segoe UI" w:eastAsia="Times New Roman" w:hAnsi="Segoe UI" w:cs="Segoe UI"/>
          <w:color w:val="212529"/>
          <w:sz w:val="26"/>
          <w:szCs w:val="26"/>
        </w:rPr>
      </w:pPr>
      <w:r w:rsidRPr="00696DF9">
        <w:rPr>
          <w:rFonts w:ascii="Segoe UI" w:eastAsia="Times New Roman" w:hAnsi="Segoe UI" w:cs="Segoe UI"/>
          <w:color w:val="212529"/>
          <w:sz w:val="26"/>
          <w:szCs w:val="26"/>
        </w:rPr>
        <w:t>b) Cetirizina.</w:t>
      </w:r>
    </w:p>
    <w:p w:rsidR="00696DF9" w:rsidRPr="00696DF9" w:rsidRDefault="00696DF9" w:rsidP="00696DF9">
      <w:pPr>
        <w:numPr>
          <w:ilvl w:val="0"/>
          <w:numId w:val="12"/>
        </w:numPr>
        <w:spacing w:before="100" w:beforeAutospacing="1" w:after="100" w:afterAutospacing="1" w:line="360" w:lineRule="atLeast"/>
        <w:jc w:val="both"/>
        <w:rPr>
          <w:rFonts w:ascii="Segoe UI" w:eastAsia="Times New Roman" w:hAnsi="Segoe UI" w:cs="Segoe UI"/>
          <w:color w:val="212529"/>
          <w:sz w:val="26"/>
          <w:szCs w:val="26"/>
        </w:rPr>
      </w:pPr>
      <w:r w:rsidRPr="00696DF9">
        <w:rPr>
          <w:rFonts w:ascii="Segoe UI" w:eastAsia="Times New Roman" w:hAnsi="Segoe UI" w:cs="Segoe UI"/>
          <w:color w:val="212529"/>
          <w:sz w:val="26"/>
          <w:szCs w:val="26"/>
        </w:rPr>
        <w:t>c) Mizolastina.</w:t>
      </w:r>
    </w:p>
    <w:p w:rsidR="00696DF9" w:rsidRPr="00696DF9" w:rsidRDefault="00696DF9" w:rsidP="00696DF9">
      <w:pPr>
        <w:numPr>
          <w:ilvl w:val="0"/>
          <w:numId w:val="12"/>
        </w:numPr>
        <w:spacing w:before="100" w:beforeAutospacing="1" w:after="100" w:afterAutospacing="1" w:line="360" w:lineRule="atLeast"/>
        <w:jc w:val="both"/>
        <w:rPr>
          <w:rFonts w:ascii="Segoe UI" w:eastAsia="Times New Roman" w:hAnsi="Segoe UI" w:cs="Segoe UI"/>
          <w:color w:val="212529"/>
          <w:sz w:val="26"/>
          <w:szCs w:val="26"/>
        </w:rPr>
      </w:pPr>
      <w:r w:rsidRPr="00696DF9">
        <w:rPr>
          <w:rFonts w:ascii="Segoe UI" w:eastAsia="Times New Roman" w:hAnsi="Segoe UI" w:cs="Segoe UI"/>
          <w:color w:val="212529"/>
          <w:sz w:val="26"/>
          <w:szCs w:val="26"/>
        </w:rPr>
        <w:t>d) Ebastina.</w:t>
      </w:r>
    </w:p>
    <w:p w:rsidR="00696DF9" w:rsidRPr="00696DF9" w:rsidRDefault="00696DF9" w:rsidP="00696DF9">
      <w:pPr>
        <w:numPr>
          <w:ilvl w:val="0"/>
          <w:numId w:val="12"/>
        </w:numPr>
        <w:spacing w:before="100" w:beforeAutospacing="1" w:after="100" w:afterAutospacing="1" w:line="360" w:lineRule="atLeast"/>
        <w:jc w:val="both"/>
        <w:rPr>
          <w:rFonts w:ascii="Segoe UI" w:eastAsia="Times New Roman" w:hAnsi="Segoe UI" w:cs="Segoe UI"/>
          <w:color w:val="4DBF32"/>
          <w:sz w:val="26"/>
          <w:szCs w:val="26"/>
        </w:rPr>
      </w:pPr>
      <w:r w:rsidRPr="00696DF9">
        <w:rPr>
          <w:rFonts w:ascii="Segoe UI" w:eastAsia="Times New Roman" w:hAnsi="Segoe UI" w:cs="Segoe UI"/>
          <w:color w:val="4DBF32"/>
          <w:sz w:val="26"/>
          <w:szCs w:val="26"/>
        </w:rPr>
        <w:t>e) Montelukast.</w:t>
      </w:r>
    </w:p>
    <w:p w:rsidR="00696DF9" w:rsidRPr="00696DF9" w:rsidRDefault="00696DF9" w:rsidP="00696DF9">
      <w:pPr>
        <w:spacing w:line="360" w:lineRule="atLeast"/>
        <w:jc w:val="both"/>
        <w:rPr>
          <w:rFonts w:ascii="Segoe UI" w:eastAsia="Times New Roman" w:hAnsi="Segoe UI" w:cs="Segoe UI"/>
          <w:color w:val="212529"/>
          <w:sz w:val="24"/>
          <w:szCs w:val="24"/>
          <w:lang w:val="es-ES"/>
        </w:rPr>
      </w:pPr>
      <w:r w:rsidRPr="00696DF9">
        <w:rPr>
          <w:rFonts w:ascii="Segoe UI" w:eastAsia="Times New Roman" w:hAnsi="Segoe UI" w:cs="Segoe UI"/>
          <w:b/>
          <w:bCs/>
          <w:color w:val="212529"/>
          <w:sz w:val="24"/>
          <w:szCs w:val="24"/>
          <w:lang w:val="es-ES"/>
        </w:rPr>
        <w:t>Explicación:</w:t>
      </w:r>
      <w:r w:rsidRPr="00696DF9">
        <w:rPr>
          <w:rFonts w:ascii="Segoe UI" w:eastAsia="Times New Roman" w:hAnsi="Segoe UI" w:cs="Segoe UI"/>
          <w:color w:val="212529"/>
          <w:sz w:val="24"/>
          <w:szCs w:val="24"/>
          <w:lang w:val="es-ES"/>
        </w:rPr>
        <w:t> La eficacia de los antileucotrienos en la urticaria crónica ha sido comunicada en varios pequeños estudios aleatorizados a doble ciego, pero con resultados inconsistentes. No se recomienda su uso en monoterapia. Todas las guías coincidían (antes de la aprobación de omalizumab), dado su excelente perfil de seguridad, en que se podían probar, aunque con un grado bajo de recomendación, asociados a anti-H1 de 2.ª generación en pacientes con urticaria crónica de difícil control. El más utilizado es el montelukast a dosis de 10 mg/día. Los otros cuatro tratamientos son antihistamínicos de 2.ª generación o no sedantes.</w:t>
      </w:r>
    </w:p>
    <w:p w:rsidR="00696DF9" w:rsidRPr="00696DF9" w:rsidRDefault="00696DF9" w:rsidP="00696DF9">
      <w:pPr>
        <w:shd w:val="clear" w:color="auto" w:fill="4DBF32"/>
        <w:spacing w:before="100" w:beforeAutospacing="1" w:after="100" w:afterAutospacing="1" w:line="360" w:lineRule="atLeast"/>
        <w:jc w:val="both"/>
        <w:rPr>
          <w:rFonts w:ascii="Arial" w:eastAsia="Times New Roman" w:hAnsi="Arial" w:cs="Arial"/>
          <w:color w:val="FFFFFF"/>
          <w:sz w:val="21"/>
          <w:szCs w:val="21"/>
          <w:lang w:val="es-ES"/>
        </w:rPr>
      </w:pPr>
      <w:r w:rsidRPr="00696DF9">
        <w:rPr>
          <w:rFonts w:ascii="Arial" w:eastAsia="Times New Roman" w:hAnsi="Arial" w:cs="Arial"/>
          <w:color w:val="FFFFFF"/>
          <w:sz w:val="21"/>
          <w:szCs w:val="21"/>
          <w:lang w:val="es-ES"/>
        </w:rPr>
        <w:t>Usted contestó correctamente a esta pregunta</w:t>
      </w:r>
    </w:p>
    <w:p w:rsidR="00696DF9" w:rsidRPr="00696DF9" w:rsidRDefault="00696DF9" w:rsidP="00696DF9">
      <w:pPr>
        <w:spacing w:before="100" w:beforeAutospacing="1" w:after="100" w:afterAutospacing="1" w:line="360" w:lineRule="atLeast"/>
        <w:jc w:val="both"/>
        <w:rPr>
          <w:rFonts w:ascii="Arial" w:eastAsia="Times New Roman" w:hAnsi="Arial" w:cs="Arial"/>
          <w:b/>
          <w:bCs/>
          <w:color w:val="212529"/>
          <w:sz w:val="26"/>
          <w:szCs w:val="26"/>
          <w:lang w:val="es-ES"/>
        </w:rPr>
      </w:pPr>
      <w:r w:rsidRPr="00696DF9">
        <w:rPr>
          <w:rFonts w:ascii="Arial" w:eastAsia="Times New Roman" w:hAnsi="Arial" w:cs="Arial"/>
          <w:b/>
          <w:bCs/>
          <w:color w:val="212529"/>
          <w:sz w:val="26"/>
          <w:szCs w:val="26"/>
          <w:lang w:val="es-ES"/>
        </w:rPr>
        <w:lastRenderedPageBreak/>
        <w:t>13. El método más fiable y recomendable para medir prospectivamente la actividad de los habones y el prurito en la urticaria crónica es:</w:t>
      </w:r>
    </w:p>
    <w:p w:rsidR="00696DF9" w:rsidRPr="00696DF9" w:rsidRDefault="00696DF9" w:rsidP="00696DF9">
      <w:pPr>
        <w:numPr>
          <w:ilvl w:val="0"/>
          <w:numId w:val="13"/>
        </w:numPr>
        <w:spacing w:before="100" w:beforeAutospacing="1" w:after="100" w:afterAutospacing="1" w:line="360" w:lineRule="atLeast"/>
        <w:jc w:val="both"/>
        <w:rPr>
          <w:rFonts w:ascii="Segoe UI" w:eastAsia="Times New Roman" w:hAnsi="Segoe UI" w:cs="Segoe UI"/>
          <w:color w:val="CF3428"/>
          <w:sz w:val="26"/>
          <w:szCs w:val="26"/>
        </w:rPr>
      </w:pPr>
      <w:r w:rsidRPr="00696DF9">
        <w:rPr>
          <w:rFonts w:ascii="Segoe UI" w:eastAsia="Times New Roman" w:hAnsi="Segoe UI" w:cs="Segoe UI"/>
          <w:color w:val="CF3428"/>
          <w:sz w:val="26"/>
          <w:szCs w:val="26"/>
        </w:rPr>
        <w:t>a) Urticaria Control Test.</w:t>
      </w:r>
    </w:p>
    <w:p w:rsidR="00696DF9" w:rsidRPr="00696DF9" w:rsidRDefault="00696DF9" w:rsidP="00696DF9">
      <w:pPr>
        <w:numPr>
          <w:ilvl w:val="0"/>
          <w:numId w:val="13"/>
        </w:numPr>
        <w:spacing w:before="100" w:beforeAutospacing="1" w:after="100" w:afterAutospacing="1" w:line="360" w:lineRule="atLeast"/>
        <w:jc w:val="both"/>
        <w:rPr>
          <w:rFonts w:ascii="Segoe UI" w:eastAsia="Times New Roman" w:hAnsi="Segoe UI" w:cs="Segoe UI"/>
          <w:color w:val="212529"/>
          <w:sz w:val="26"/>
          <w:szCs w:val="26"/>
        </w:rPr>
      </w:pPr>
      <w:r w:rsidRPr="00696DF9">
        <w:rPr>
          <w:rFonts w:ascii="Segoe UI" w:eastAsia="Times New Roman" w:hAnsi="Segoe UI" w:cs="Segoe UI"/>
          <w:color w:val="212529"/>
          <w:sz w:val="26"/>
          <w:szCs w:val="26"/>
        </w:rPr>
        <w:t>b) Angioedema Activity Score.</w:t>
      </w:r>
    </w:p>
    <w:p w:rsidR="00696DF9" w:rsidRPr="00696DF9" w:rsidRDefault="00696DF9" w:rsidP="00696DF9">
      <w:pPr>
        <w:numPr>
          <w:ilvl w:val="0"/>
          <w:numId w:val="13"/>
        </w:numPr>
        <w:spacing w:before="100" w:beforeAutospacing="1" w:after="100" w:afterAutospacing="1" w:line="360" w:lineRule="atLeast"/>
        <w:jc w:val="both"/>
        <w:rPr>
          <w:rFonts w:ascii="Segoe UI" w:eastAsia="Times New Roman" w:hAnsi="Segoe UI" w:cs="Segoe UI"/>
          <w:color w:val="4DBF32"/>
          <w:sz w:val="26"/>
          <w:szCs w:val="26"/>
        </w:rPr>
      </w:pPr>
      <w:r w:rsidRPr="00696DF9">
        <w:rPr>
          <w:rFonts w:ascii="Segoe UI" w:eastAsia="Times New Roman" w:hAnsi="Segoe UI" w:cs="Segoe UI"/>
          <w:color w:val="4DBF32"/>
          <w:sz w:val="26"/>
          <w:szCs w:val="26"/>
        </w:rPr>
        <w:t>c) Urticaria Activity Score 7.</w:t>
      </w:r>
    </w:p>
    <w:p w:rsidR="00696DF9" w:rsidRPr="00696DF9" w:rsidRDefault="00696DF9" w:rsidP="00696DF9">
      <w:pPr>
        <w:numPr>
          <w:ilvl w:val="0"/>
          <w:numId w:val="13"/>
        </w:numPr>
        <w:spacing w:before="100" w:beforeAutospacing="1" w:after="100" w:afterAutospacing="1" w:line="360" w:lineRule="atLeast"/>
        <w:jc w:val="both"/>
        <w:rPr>
          <w:rFonts w:ascii="Segoe UI" w:eastAsia="Times New Roman" w:hAnsi="Segoe UI" w:cs="Segoe UI"/>
          <w:color w:val="212529"/>
          <w:sz w:val="26"/>
          <w:szCs w:val="26"/>
          <w:lang w:val="es-ES"/>
        </w:rPr>
      </w:pPr>
      <w:r w:rsidRPr="00696DF9">
        <w:rPr>
          <w:rFonts w:ascii="Segoe UI" w:eastAsia="Times New Roman" w:hAnsi="Segoe UI" w:cs="Segoe UI"/>
          <w:color w:val="212529"/>
          <w:sz w:val="26"/>
          <w:szCs w:val="26"/>
          <w:lang w:val="es-ES"/>
        </w:rPr>
        <w:t>d) Cuestionario de calidad de vida CU-Q2oL.</w:t>
      </w:r>
    </w:p>
    <w:p w:rsidR="00696DF9" w:rsidRPr="00696DF9" w:rsidRDefault="00696DF9" w:rsidP="00696DF9">
      <w:pPr>
        <w:numPr>
          <w:ilvl w:val="0"/>
          <w:numId w:val="13"/>
        </w:numPr>
        <w:spacing w:before="100" w:beforeAutospacing="1" w:after="100" w:afterAutospacing="1" w:line="360" w:lineRule="atLeast"/>
        <w:jc w:val="both"/>
        <w:rPr>
          <w:rFonts w:ascii="Segoe UI" w:eastAsia="Times New Roman" w:hAnsi="Segoe UI" w:cs="Segoe UI"/>
          <w:color w:val="212529"/>
          <w:sz w:val="26"/>
          <w:szCs w:val="26"/>
          <w:lang w:val="es-ES"/>
        </w:rPr>
      </w:pPr>
      <w:r w:rsidRPr="00696DF9">
        <w:rPr>
          <w:rFonts w:ascii="Segoe UI" w:eastAsia="Times New Roman" w:hAnsi="Segoe UI" w:cs="Segoe UI"/>
          <w:color w:val="212529"/>
          <w:sz w:val="26"/>
          <w:szCs w:val="26"/>
          <w:lang w:val="es-ES"/>
        </w:rPr>
        <w:t>e) Cuestionario de calidad de vida AE-QoL.</w:t>
      </w:r>
    </w:p>
    <w:p w:rsidR="00696DF9" w:rsidRPr="00696DF9" w:rsidRDefault="00696DF9" w:rsidP="00696DF9">
      <w:pPr>
        <w:spacing w:line="360" w:lineRule="atLeast"/>
        <w:jc w:val="both"/>
        <w:rPr>
          <w:rFonts w:ascii="Segoe UI" w:eastAsia="Times New Roman" w:hAnsi="Segoe UI" w:cs="Segoe UI"/>
          <w:color w:val="212529"/>
          <w:sz w:val="24"/>
          <w:szCs w:val="24"/>
          <w:lang w:val="es-ES"/>
        </w:rPr>
      </w:pPr>
      <w:r w:rsidRPr="00696DF9">
        <w:rPr>
          <w:rFonts w:ascii="Segoe UI" w:eastAsia="Times New Roman" w:hAnsi="Segoe UI" w:cs="Segoe UI"/>
          <w:b/>
          <w:bCs/>
          <w:color w:val="212529"/>
          <w:sz w:val="24"/>
          <w:szCs w:val="24"/>
          <w:lang w:val="es-ES"/>
        </w:rPr>
        <w:t>Explicación:</w:t>
      </w:r>
      <w:r w:rsidRPr="00696DF9">
        <w:rPr>
          <w:rFonts w:ascii="Segoe UI" w:eastAsia="Times New Roman" w:hAnsi="Segoe UI" w:cs="Segoe UI"/>
          <w:color w:val="212529"/>
          <w:sz w:val="24"/>
          <w:szCs w:val="24"/>
          <w:lang w:val="es-ES"/>
        </w:rPr>
        <w:t> El único de estos test o cuestionarios que mide la actividad de la urticaria de una manera prospectiva es el UAS7. El primero lo mide retrospectivamente y el segundo valora el angioedema, mientras que los de las respuestas d) y e) miden la calidad de vida, no la actividad de la enfermedad.</w:t>
      </w:r>
    </w:p>
    <w:p w:rsidR="00696DF9" w:rsidRPr="00696DF9" w:rsidRDefault="00696DF9" w:rsidP="00696DF9">
      <w:pPr>
        <w:shd w:val="clear" w:color="auto" w:fill="CF3428"/>
        <w:spacing w:before="100" w:beforeAutospacing="1" w:after="100" w:afterAutospacing="1" w:line="360" w:lineRule="atLeast"/>
        <w:jc w:val="both"/>
        <w:rPr>
          <w:rFonts w:ascii="Arial" w:eastAsia="Times New Roman" w:hAnsi="Arial" w:cs="Arial"/>
          <w:color w:val="FFFFFF"/>
          <w:sz w:val="21"/>
          <w:szCs w:val="21"/>
          <w:lang w:val="es-ES"/>
        </w:rPr>
      </w:pPr>
      <w:r w:rsidRPr="00696DF9">
        <w:rPr>
          <w:rFonts w:ascii="Arial" w:eastAsia="Times New Roman" w:hAnsi="Arial" w:cs="Arial"/>
          <w:color w:val="FFFFFF"/>
          <w:sz w:val="21"/>
          <w:szCs w:val="21"/>
          <w:lang w:val="es-ES"/>
        </w:rPr>
        <w:t>Usted contestó erróneamente a esta pregunta</w:t>
      </w:r>
    </w:p>
    <w:p w:rsidR="00696DF9" w:rsidRPr="00696DF9" w:rsidRDefault="00696DF9" w:rsidP="00696DF9">
      <w:pPr>
        <w:spacing w:before="100" w:beforeAutospacing="1" w:after="100" w:afterAutospacing="1" w:line="360" w:lineRule="atLeast"/>
        <w:jc w:val="both"/>
        <w:rPr>
          <w:rFonts w:ascii="Arial" w:eastAsia="Times New Roman" w:hAnsi="Arial" w:cs="Arial"/>
          <w:b/>
          <w:bCs/>
          <w:color w:val="212529"/>
          <w:sz w:val="26"/>
          <w:szCs w:val="26"/>
          <w:lang w:val="es-ES"/>
        </w:rPr>
      </w:pPr>
      <w:r w:rsidRPr="00696DF9">
        <w:rPr>
          <w:rFonts w:ascii="Arial" w:eastAsia="Times New Roman" w:hAnsi="Arial" w:cs="Arial"/>
          <w:b/>
          <w:bCs/>
          <w:color w:val="212529"/>
          <w:sz w:val="26"/>
          <w:szCs w:val="26"/>
          <w:lang w:val="es-ES"/>
        </w:rPr>
        <w:t>14. Son causas que provocan una mayor gravedad en la urticaria:</w:t>
      </w:r>
    </w:p>
    <w:p w:rsidR="00696DF9" w:rsidRPr="00696DF9" w:rsidRDefault="00696DF9" w:rsidP="00696DF9">
      <w:pPr>
        <w:numPr>
          <w:ilvl w:val="0"/>
          <w:numId w:val="14"/>
        </w:numPr>
        <w:spacing w:before="100" w:beforeAutospacing="1" w:after="100" w:afterAutospacing="1" w:line="360" w:lineRule="atLeast"/>
        <w:jc w:val="both"/>
        <w:rPr>
          <w:rFonts w:ascii="Segoe UI" w:eastAsia="Times New Roman" w:hAnsi="Segoe UI" w:cs="Segoe UI"/>
          <w:color w:val="212529"/>
          <w:sz w:val="26"/>
          <w:szCs w:val="26"/>
        </w:rPr>
      </w:pPr>
      <w:r w:rsidRPr="00696DF9">
        <w:rPr>
          <w:rFonts w:ascii="Segoe UI" w:eastAsia="Times New Roman" w:hAnsi="Segoe UI" w:cs="Segoe UI"/>
          <w:color w:val="212529"/>
          <w:sz w:val="26"/>
          <w:szCs w:val="26"/>
        </w:rPr>
        <w:t>a) Presentación en niños.</w:t>
      </w:r>
    </w:p>
    <w:p w:rsidR="00696DF9" w:rsidRPr="00696DF9" w:rsidRDefault="00696DF9" w:rsidP="00696DF9">
      <w:pPr>
        <w:numPr>
          <w:ilvl w:val="0"/>
          <w:numId w:val="14"/>
        </w:numPr>
        <w:spacing w:before="100" w:beforeAutospacing="1" w:after="100" w:afterAutospacing="1" w:line="360" w:lineRule="atLeast"/>
        <w:jc w:val="both"/>
        <w:rPr>
          <w:rFonts w:ascii="Segoe UI" w:eastAsia="Times New Roman" w:hAnsi="Segoe UI" w:cs="Segoe UI"/>
          <w:color w:val="4DBF32"/>
          <w:sz w:val="26"/>
          <w:szCs w:val="26"/>
        </w:rPr>
      </w:pPr>
      <w:r w:rsidRPr="00696DF9">
        <w:rPr>
          <w:rFonts w:ascii="Segoe UI" w:eastAsia="Times New Roman" w:hAnsi="Segoe UI" w:cs="Segoe UI"/>
          <w:color w:val="4DBF32"/>
          <w:sz w:val="26"/>
          <w:szCs w:val="26"/>
        </w:rPr>
        <w:t>b) Concomitancia con angioedema.</w:t>
      </w:r>
    </w:p>
    <w:p w:rsidR="00696DF9" w:rsidRPr="00696DF9" w:rsidRDefault="00696DF9" w:rsidP="00696DF9">
      <w:pPr>
        <w:numPr>
          <w:ilvl w:val="0"/>
          <w:numId w:val="14"/>
        </w:numPr>
        <w:spacing w:before="100" w:beforeAutospacing="1" w:after="100" w:afterAutospacing="1" w:line="360" w:lineRule="atLeast"/>
        <w:jc w:val="both"/>
        <w:rPr>
          <w:rFonts w:ascii="Segoe UI" w:eastAsia="Times New Roman" w:hAnsi="Segoe UI" w:cs="Segoe UI"/>
          <w:color w:val="212529"/>
          <w:sz w:val="26"/>
          <w:szCs w:val="26"/>
        </w:rPr>
      </w:pPr>
      <w:r w:rsidRPr="00696DF9">
        <w:rPr>
          <w:rFonts w:ascii="Segoe UI" w:eastAsia="Times New Roman" w:hAnsi="Segoe UI" w:cs="Segoe UI"/>
          <w:color w:val="212529"/>
          <w:sz w:val="26"/>
          <w:szCs w:val="26"/>
        </w:rPr>
        <w:t>c) Concomitancia con cardiopatía.</w:t>
      </w:r>
    </w:p>
    <w:p w:rsidR="00696DF9" w:rsidRPr="00696DF9" w:rsidRDefault="00696DF9" w:rsidP="00696DF9">
      <w:pPr>
        <w:numPr>
          <w:ilvl w:val="0"/>
          <w:numId w:val="14"/>
        </w:numPr>
        <w:spacing w:before="100" w:beforeAutospacing="1" w:after="100" w:afterAutospacing="1" w:line="360" w:lineRule="atLeast"/>
        <w:jc w:val="both"/>
        <w:rPr>
          <w:rFonts w:ascii="Segoe UI" w:eastAsia="Times New Roman" w:hAnsi="Segoe UI" w:cs="Segoe UI"/>
          <w:color w:val="212529"/>
          <w:sz w:val="26"/>
          <w:szCs w:val="26"/>
          <w:lang w:val="es-ES"/>
        </w:rPr>
      </w:pPr>
      <w:r w:rsidRPr="00696DF9">
        <w:rPr>
          <w:rFonts w:ascii="Segoe UI" w:eastAsia="Times New Roman" w:hAnsi="Segoe UI" w:cs="Segoe UI"/>
          <w:color w:val="212529"/>
          <w:sz w:val="26"/>
          <w:szCs w:val="26"/>
          <w:lang w:val="es-ES"/>
        </w:rPr>
        <w:t>d) Pacientes con trastorno del espectro autista.</w:t>
      </w:r>
    </w:p>
    <w:p w:rsidR="00696DF9" w:rsidRPr="00696DF9" w:rsidRDefault="00696DF9" w:rsidP="00696DF9">
      <w:pPr>
        <w:numPr>
          <w:ilvl w:val="0"/>
          <w:numId w:val="14"/>
        </w:numPr>
        <w:spacing w:before="100" w:beforeAutospacing="1" w:after="100" w:afterAutospacing="1" w:line="360" w:lineRule="atLeast"/>
        <w:jc w:val="both"/>
        <w:rPr>
          <w:rFonts w:ascii="Segoe UI" w:eastAsia="Times New Roman" w:hAnsi="Segoe UI" w:cs="Segoe UI"/>
          <w:color w:val="212529"/>
          <w:sz w:val="26"/>
          <w:szCs w:val="26"/>
        </w:rPr>
      </w:pPr>
      <w:r w:rsidRPr="00696DF9">
        <w:rPr>
          <w:rFonts w:ascii="Segoe UI" w:eastAsia="Times New Roman" w:hAnsi="Segoe UI" w:cs="Segoe UI"/>
          <w:color w:val="212529"/>
          <w:sz w:val="26"/>
          <w:szCs w:val="26"/>
        </w:rPr>
        <w:t>e) Pacientes con dislipemia.</w:t>
      </w:r>
    </w:p>
    <w:p w:rsidR="00696DF9" w:rsidRPr="00696DF9" w:rsidRDefault="00696DF9" w:rsidP="00696DF9">
      <w:pPr>
        <w:spacing w:line="360" w:lineRule="atLeast"/>
        <w:jc w:val="both"/>
        <w:rPr>
          <w:rFonts w:ascii="Segoe UI" w:eastAsia="Times New Roman" w:hAnsi="Segoe UI" w:cs="Segoe UI"/>
          <w:color w:val="212529"/>
          <w:sz w:val="24"/>
          <w:szCs w:val="24"/>
          <w:lang w:val="es-ES"/>
        </w:rPr>
      </w:pPr>
      <w:r w:rsidRPr="00696DF9">
        <w:rPr>
          <w:rFonts w:ascii="Segoe UI" w:eastAsia="Times New Roman" w:hAnsi="Segoe UI" w:cs="Segoe UI"/>
          <w:b/>
          <w:bCs/>
          <w:color w:val="212529"/>
          <w:sz w:val="24"/>
          <w:szCs w:val="24"/>
          <w:lang w:val="es-ES"/>
        </w:rPr>
        <w:t>Explicación:</w:t>
      </w:r>
      <w:r w:rsidRPr="00696DF9">
        <w:rPr>
          <w:rFonts w:ascii="Segoe UI" w:eastAsia="Times New Roman" w:hAnsi="Segoe UI" w:cs="Segoe UI"/>
          <w:color w:val="212529"/>
          <w:sz w:val="24"/>
          <w:szCs w:val="24"/>
          <w:lang w:val="es-ES"/>
        </w:rPr>
        <w:t> Según varios estudios, la duración es mayor en los casos en los que la presentación de la urticaria es más grave, en pacientes de edad avanzada, si se acompaña de angioedema, si hay urticaria inducible concurrente o si la prueba del suero autólogo da un resultado positivo, con lo que la opción correcta es la b).</w:t>
      </w:r>
    </w:p>
    <w:p w:rsidR="00696DF9" w:rsidRPr="00696DF9" w:rsidRDefault="00696DF9" w:rsidP="00696DF9">
      <w:pPr>
        <w:shd w:val="clear" w:color="auto" w:fill="4DBF32"/>
        <w:spacing w:before="100" w:beforeAutospacing="1" w:after="100" w:afterAutospacing="1" w:line="360" w:lineRule="atLeast"/>
        <w:jc w:val="both"/>
        <w:rPr>
          <w:rFonts w:ascii="Arial" w:eastAsia="Times New Roman" w:hAnsi="Arial" w:cs="Arial"/>
          <w:color w:val="FFFFFF"/>
          <w:sz w:val="21"/>
          <w:szCs w:val="21"/>
          <w:lang w:val="es-ES"/>
        </w:rPr>
      </w:pPr>
      <w:r w:rsidRPr="00696DF9">
        <w:rPr>
          <w:rFonts w:ascii="Arial" w:eastAsia="Times New Roman" w:hAnsi="Arial" w:cs="Arial"/>
          <w:color w:val="FFFFFF"/>
          <w:sz w:val="21"/>
          <w:szCs w:val="21"/>
          <w:lang w:val="es-ES"/>
        </w:rPr>
        <w:t>Usted contestó correctamente a esta pregunta</w:t>
      </w:r>
    </w:p>
    <w:p w:rsidR="00696DF9" w:rsidRPr="00696DF9" w:rsidRDefault="00696DF9" w:rsidP="00696DF9">
      <w:pPr>
        <w:spacing w:before="100" w:beforeAutospacing="1" w:after="100" w:afterAutospacing="1" w:line="360" w:lineRule="atLeast"/>
        <w:jc w:val="both"/>
        <w:rPr>
          <w:rFonts w:ascii="Arial" w:eastAsia="Times New Roman" w:hAnsi="Arial" w:cs="Arial"/>
          <w:b/>
          <w:bCs/>
          <w:color w:val="212529"/>
          <w:sz w:val="26"/>
          <w:szCs w:val="26"/>
          <w:lang w:val="es-ES"/>
        </w:rPr>
      </w:pPr>
      <w:r w:rsidRPr="00696DF9">
        <w:rPr>
          <w:rFonts w:ascii="Arial" w:eastAsia="Times New Roman" w:hAnsi="Arial" w:cs="Arial"/>
          <w:b/>
          <w:bCs/>
          <w:color w:val="212529"/>
          <w:sz w:val="26"/>
          <w:szCs w:val="26"/>
          <w:lang w:val="es-ES"/>
        </w:rPr>
        <w:t>15. A los pacientes con urticaria crónica que presentan exacerbación con diclofenaco, se les debe recomendar como analgésicos:</w:t>
      </w:r>
    </w:p>
    <w:p w:rsidR="00696DF9" w:rsidRPr="00696DF9" w:rsidRDefault="00696DF9" w:rsidP="00696DF9">
      <w:pPr>
        <w:numPr>
          <w:ilvl w:val="0"/>
          <w:numId w:val="15"/>
        </w:numPr>
        <w:spacing w:before="100" w:beforeAutospacing="1" w:after="100" w:afterAutospacing="1" w:line="360" w:lineRule="atLeast"/>
        <w:jc w:val="both"/>
        <w:rPr>
          <w:rFonts w:ascii="Segoe UI" w:eastAsia="Times New Roman" w:hAnsi="Segoe UI" w:cs="Segoe UI"/>
          <w:color w:val="4DBF32"/>
          <w:sz w:val="26"/>
          <w:szCs w:val="26"/>
        </w:rPr>
      </w:pPr>
      <w:r w:rsidRPr="00696DF9">
        <w:rPr>
          <w:rFonts w:ascii="Segoe UI" w:eastAsia="Times New Roman" w:hAnsi="Segoe UI" w:cs="Segoe UI"/>
          <w:color w:val="4DBF32"/>
          <w:sz w:val="26"/>
          <w:szCs w:val="26"/>
        </w:rPr>
        <w:t>a) Paracetamol.</w:t>
      </w:r>
    </w:p>
    <w:p w:rsidR="00696DF9" w:rsidRPr="00696DF9" w:rsidRDefault="00696DF9" w:rsidP="00696DF9">
      <w:pPr>
        <w:numPr>
          <w:ilvl w:val="0"/>
          <w:numId w:val="15"/>
        </w:numPr>
        <w:spacing w:before="100" w:beforeAutospacing="1" w:after="100" w:afterAutospacing="1" w:line="360" w:lineRule="atLeast"/>
        <w:jc w:val="both"/>
        <w:rPr>
          <w:rFonts w:ascii="Segoe UI" w:eastAsia="Times New Roman" w:hAnsi="Segoe UI" w:cs="Segoe UI"/>
          <w:color w:val="212529"/>
          <w:sz w:val="26"/>
          <w:szCs w:val="26"/>
        </w:rPr>
      </w:pPr>
      <w:r w:rsidRPr="00696DF9">
        <w:rPr>
          <w:rFonts w:ascii="Segoe UI" w:eastAsia="Times New Roman" w:hAnsi="Segoe UI" w:cs="Segoe UI"/>
          <w:color w:val="212529"/>
          <w:sz w:val="26"/>
          <w:szCs w:val="26"/>
        </w:rPr>
        <w:t>b) Indometacina.</w:t>
      </w:r>
    </w:p>
    <w:p w:rsidR="00696DF9" w:rsidRPr="00696DF9" w:rsidRDefault="00696DF9" w:rsidP="00696DF9">
      <w:pPr>
        <w:numPr>
          <w:ilvl w:val="0"/>
          <w:numId w:val="15"/>
        </w:numPr>
        <w:spacing w:before="100" w:beforeAutospacing="1" w:after="100" w:afterAutospacing="1" w:line="360" w:lineRule="atLeast"/>
        <w:jc w:val="both"/>
        <w:rPr>
          <w:rFonts w:ascii="Segoe UI" w:eastAsia="Times New Roman" w:hAnsi="Segoe UI" w:cs="Segoe UI"/>
          <w:color w:val="212529"/>
          <w:sz w:val="26"/>
          <w:szCs w:val="26"/>
        </w:rPr>
      </w:pPr>
      <w:r w:rsidRPr="00696DF9">
        <w:rPr>
          <w:rFonts w:ascii="Segoe UI" w:eastAsia="Times New Roman" w:hAnsi="Segoe UI" w:cs="Segoe UI"/>
          <w:color w:val="212529"/>
          <w:sz w:val="26"/>
          <w:szCs w:val="26"/>
        </w:rPr>
        <w:t>c) Ácido acetilsalicílico.</w:t>
      </w:r>
    </w:p>
    <w:p w:rsidR="00696DF9" w:rsidRPr="00696DF9" w:rsidRDefault="00696DF9" w:rsidP="00696DF9">
      <w:pPr>
        <w:numPr>
          <w:ilvl w:val="0"/>
          <w:numId w:val="15"/>
        </w:numPr>
        <w:spacing w:before="100" w:beforeAutospacing="1" w:after="100" w:afterAutospacing="1" w:line="360" w:lineRule="atLeast"/>
        <w:jc w:val="both"/>
        <w:rPr>
          <w:rFonts w:ascii="Segoe UI" w:eastAsia="Times New Roman" w:hAnsi="Segoe UI" w:cs="Segoe UI"/>
          <w:color w:val="212529"/>
          <w:sz w:val="26"/>
          <w:szCs w:val="26"/>
        </w:rPr>
      </w:pPr>
      <w:r w:rsidRPr="00696DF9">
        <w:rPr>
          <w:rFonts w:ascii="Segoe UI" w:eastAsia="Times New Roman" w:hAnsi="Segoe UI" w:cs="Segoe UI"/>
          <w:color w:val="212529"/>
          <w:sz w:val="26"/>
          <w:szCs w:val="26"/>
        </w:rPr>
        <w:t>d) Ibuprofeno.</w:t>
      </w:r>
    </w:p>
    <w:p w:rsidR="00696DF9" w:rsidRPr="00696DF9" w:rsidRDefault="00696DF9" w:rsidP="00696DF9">
      <w:pPr>
        <w:numPr>
          <w:ilvl w:val="0"/>
          <w:numId w:val="15"/>
        </w:numPr>
        <w:spacing w:before="100" w:beforeAutospacing="1" w:after="100" w:afterAutospacing="1" w:line="360" w:lineRule="atLeast"/>
        <w:jc w:val="both"/>
        <w:rPr>
          <w:rFonts w:ascii="Segoe UI" w:eastAsia="Times New Roman" w:hAnsi="Segoe UI" w:cs="Segoe UI"/>
          <w:color w:val="212529"/>
          <w:sz w:val="26"/>
          <w:szCs w:val="26"/>
        </w:rPr>
      </w:pPr>
      <w:r w:rsidRPr="00696DF9">
        <w:rPr>
          <w:rFonts w:ascii="Segoe UI" w:eastAsia="Times New Roman" w:hAnsi="Segoe UI" w:cs="Segoe UI"/>
          <w:color w:val="212529"/>
          <w:sz w:val="26"/>
          <w:szCs w:val="26"/>
        </w:rPr>
        <w:lastRenderedPageBreak/>
        <w:t>e) Aceclofenaco.</w:t>
      </w:r>
    </w:p>
    <w:p w:rsidR="00696DF9" w:rsidRPr="00696DF9" w:rsidRDefault="00696DF9" w:rsidP="00696DF9">
      <w:pPr>
        <w:spacing w:line="360" w:lineRule="atLeast"/>
        <w:jc w:val="both"/>
        <w:rPr>
          <w:rFonts w:ascii="Segoe UI" w:eastAsia="Times New Roman" w:hAnsi="Segoe UI" w:cs="Segoe UI"/>
          <w:color w:val="212529"/>
          <w:sz w:val="24"/>
          <w:szCs w:val="24"/>
          <w:lang w:val="es-ES"/>
        </w:rPr>
      </w:pPr>
      <w:r w:rsidRPr="00696DF9">
        <w:rPr>
          <w:rFonts w:ascii="Segoe UI" w:eastAsia="Times New Roman" w:hAnsi="Segoe UI" w:cs="Segoe UI"/>
          <w:b/>
          <w:bCs/>
          <w:color w:val="212529"/>
          <w:sz w:val="24"/>
          <w:szCs w:val="24"/>
          <w:lang w:val="es-ES"/>
        </w:rPr>
        <w:t>Explicación:</w:t>
      </w:r>
      <w:r w:rsidRPr="00696DF9">
        <w:rPr>
          <w:rFonts w:ascii="Segoe UI" w:eastAsia="Times New Roman" w:hAnsi="Segoe UI" w:cs="Segoe UI"/>
          <w:color w:val="212529"/>
          <w:sz w:val="24"/>
          <w:szCs w:val="24"/>
          <w:lang w:val="es-ES"/>
        </w:rPr>
        <w:t> El diclofenaco es un antiinflamatorio no esteroideo. Hasta un 30 % de los pacientes con urticaria crónica cuando consumen AINE pueden desencadenar o exacerbar los brotes de urticaria. Habitualmente los pacientes toleran paracetamol y AINE inhibidores selectivos de Cox-2 (Coxibs).</w:t>
      </w:r>
    </w:p>
    <w:p w:rsidR="00696DF9" w:rsidRPr="00696DF9" w:rsidRDefault="00696DF9" w:rsidP="00696DF9">
      <w:pPr>
        <w:shd w:val="clear" w:color="auto" w:fill="4DBF32"/>
        <w:spacing w:before="100" w:beforeAutospacing="1" w:after="100" w:afterAutospacing="1" w:line="360" w:lineRule="atLeast"/>
        <w:jc w:val="both"/>
        <w:rPr>
          <w:rFonts w:ascii="Arial" w:eastAsia="Times New Roman" w:hAnsi="Arial" w:cs="Arial"/>
          <w:color w:val="FFFFFF"/>
          <w:sz w:val="21"/>
          <w:szCs w:val="21"/>
          <w:lang w:val="es-ES"/>
        </w:rPr>
      </w:pPr>
      <w:r w:rsidRPr="00696DF9">
        <w:rPr>
          <w:rFonts w:ascii="Arial" w:eastAsia="Times New Roman" w:hAnsi="Arial" w:cs="Arial"/>
          <w:color w:val="FFFFFF"/>
          <w:sz w:val="21"/>
          <w:szCs w:val="21"/>
          <w:lang w:val="es-ES"/>
        </w:rPr>
        <w:t>Usted contestó correctamente a esta pregunta</w:t>
      </w:r>
    </w:p>
    <w:p w:rsidR="00696DF9" w:rsidRPr="00696DF9" w:rsidRDefault="00696DF9" w:rsidP="00696DF9">
      <w:pPr>
        <w:spacing w:before="100" w:beforeAutospacing="1" w:after="100" w:afterAutospacing="1" w:line="360" w:lineRule="atLeast"/>
        <w:jc w:val="both"/>
        <w:rPr>
          <w:rFonts w:ascii="Arial" w:eastAsia="Times New Roman" w:hAnsi="Arial" w:cs="Arial"/>
          <w:b/>
          <w:bCs/>
          <w:color w:val="212529"/>
          <w:sz w:val="26"/>
          <w:szCs w:val="26"/>
          <w:lang w:val="es-ES"/>
        </w:rPr>
      </w:pPr>
      <w:r w:rsidRPr="00696DF9">
        <w:rPr>
          <w:rFonts w:ascii="Arial" w:eastAsia="Times New Roman" w:hAnsi="Arial" w:cs="Arial"/>
          <w:b/>
          <w:bCs/>
          <w:color w:val="212529"/>
          <w:sz w:val="26"/>
          <w:szCs w:val="26"/>
          <w:lang w:val="es-ES"/>
        </w:rPr>
        <w:t>16. Se considera que la urticaria crónica (más de 6 semanas) se resuelve entre 6 meses y un año en el:</w:t>
      </w:r>
    </w:p>
    <w:p w:rsidR="00696DF9" w:rsidRPr="00696DF9" w:rsidRDefault="00696DF9" w:rsidP="00696DF9">
      <w:pPr>
        <w:numPr>
          <w:ilvl w:val="0"/>
          <w:numId w:val="16"/>
        </w:numPr>
        <w:spacing w:before="100" w:beforeAutospacing="1" w:after="100" w:afterAutospacing="1" w:line="360" w:lineRule="atLeast"/>
        <w:jc w:val="both"/>
        <w:rPr>
          <w:rFonts w:ascii="Segoe UI" w:eastAsia="Times New Roman" w:hAnsi="Segoe UI" w:cs="Segoe UI"/>
          <w:color w:val="212529"/>
          <w:sz w:val="26"/>
          <w:szCs w:val="26"/>
        </w:rPr>
      </w:pPr>
      <w:r w:rsidRPr="00696DF9">
        <w:rPr>
          <w:rFonts w:ascii="Segoe UI" w:eastAsia="Times New Roman" w:hAnsi="Segoe UI" w:cs="Segoe UI"/>
          <w:color w:val="212529"/>
          <w:sz w:val="26"/>
          <w:szCs w:val="26"/>
        </w:rPr>
        <w:t>a) 100 % de los pacientes.</w:t>
      </w:r>
    </w:p>
    <w:p w:rsidR="00696DF9" w:rsidRPr="00696DF9" w:rsidRDefault="00696DF9" w:rsidP="00696DF9">
      <w:pPr>
        <w:numPr>
          <w:ilvl w:val="0"/>
          <w:numId w:val="16"/>
        </w:numPr>
        <w:spacing w:before="100" w:beforeAutospacing="1" w:after="100" w:afterAutospacing="1" w:line="360" w:lineRule="atLeast"/>
        <w:jc w:val="both"/>
        <w:rPr>
          <w:rFonts w:ascii="Segoe UI" w:eastAsia="Times New Roman" w:hAnsi="Segoe UI" w:cs="Segoe UI"/>
          <w:color w:val="212529"/>
          <w:sz w:val="26"/>
          <w:szCs w:val="26"/>
        </w:rPr>
      </w:pPr>
      <w:r w:rsidRPr="00696DF9">
        <w:rPr>
          <w:rFonts w:ascii="Segoe UI" w:eastAsia="Times New Roman" w:hAnsi="Segoe UI" w:cs="Segoe UI"/>
          <w:color w:val="212529"/>
          <w:sz w:val="26"/>
          <w:szCs w:val="26"/>
        </w:rPr>
        <w:t>b) 20 % de los pacientes.</w:t>
      </w:r>
    </w:p>
    <w:p w:rsidR="00696DF9" w:rsidRPr="00696DF9" w:rsidRDefault="00696DF9" w:rsidP="00696DF9">
      <w:pPr>
        <w:numPr>
          <w:ilvl w:val="0"/>
          <w:numId w:val="16"/>
        </w:numPr>
        <w:spacing w:before="100" w:beforeAutospacing="1" w:after="100" w:afterAutospacing="1" w:line="360" w:lineRule="atLeast"/>
        <w:jc w:val="both"/>
        <w:rPr>
          <w:rFonts w:ascii="Segoe UI" w:eastAsia="Times New Roman" w:hAnsi="Segoe UI" w:cs="Segoe UI"/>
          <w:color w:val="212529"/>
          <w:sz w:val="26"/>
          <w:szCs w:val="26"/>
        </w:rPr>
      </w:pPr>
      <w:r w:rsidRPr="00696DF9">
        <w:rPr>
          <w:rFonts w:ascii="Segoe UI" w:eastAsia="Times New Roman" w:hAnsi="Segoe UI" w:cs="Segoe UI"/>
          <w:color w:val="212529"/>
          <w:sz w:val="26"/>
          <w:szCs w:val="26"/>
        </w:rPr>
        <w:t>c) 30 % de los pacientes.</w:t>
      </w:r>
    </w:p>
    <w:p w:rsidR="00696DF9" w:rsidRPr="00696DF9" w:rsidRDefault="00696DF9" w:rsidP="00696DF9">
      <w:pPr>
        <w:numPr>
          <w:ilvl w:val="0"/>
          <w:numId w:val="16"/>
        </w:numPr>
        <w:spacing w:before="100" w:beforeAutospacing="1" w:after="100" w:afterAutospacing="1" w:line="360" w:lineRule="atLeast"/>
        <w:jc w:val="both"/>
        <w:rPr>
          <w:rFonts w:ascii="Segoe UI" w:eastAsia="Times New Roman" w:hAnsi="Segoe UI" w:cs="Segoe UI"/>
          <w:color w:val="212529"/>
          <w:sz w:val="26"/>
          <w:szCs w:val="26"/>
        </w:rPr>
      </w:pPr>
      <w:r w:rsidRPr="00696DF9">
        <w:rPr>
          <w:rFonts w:ascii="Segoe UI" w:eastAsia="Times New Roman" w:hAnsi="Segoe UI" w:cs="Segoe UI"/>
          <w:color w:val="212529"/>
          <w:sz w:val="26"/>
          <w:szCs w:val="26"/>
        </w:rPr>
        <w:t>d) 80 % de los pacientes.</w:t>
      </w:r>
    </w:p>
    <w:p w:rsidR="00696DF9" w:rsidRPr="00696DF9" w:rsidRDefault="00696DF9" w:rsidP="00696DF9">
      <w:pPr>
        <w:numPr>
          <w:ilvl w:val="0"/>
          <w:numId w:val="16"/>
        </w:numPr>
        <w:spacing w:before="100" w:beforeAutospacing="1" w:after="100" w:afterAutospacing="1" w:line="360" w:lineRule="atLeast"/>
        <w:jc w:val="both"/>
        <w:rPr>
          <w:rFonts w:ascii="Segoe UI" w:eastAsia="Times New Roman" w:hAnsi="Segoe UI" w:cs="Segoe UI"/>
          <w:color w:val="4DBF32"/>
          <w:sz w:val="26"/>
          <w:szCs w:val="26"/>
        </w:rPr>
      </w:pPr>
      <w:r w:rsidRPr="00696DF9">
        <w:rPr>
          <w:rFonts w:ascii="Segoe UI" w:eastAsia="Times New Roman" w:hAnsi="Segoe UI" w:cs="Segoe UI"/>
          <w:color w:val="4DBF32"/>
          <w:sz w:val="26"/>
          <w:szCs w:val="26"/>
        </w:rPr>
        <w:t>e) 50 % de los pacientes.</w:t>
      </w:r>
    </w:p>
    <w:p w:rsidR="00696DF9" w:rsidRPr="00696DF9" w:rsidRDefault="00696DF9" w:rsidP="00696DF9">
      <w:pPr>
        <w:spacing w:line="360" w:lineRule="atLeast"/>
        <w:jc w:val="both"/>
        <w:rPr>
          <w:rFonts w:ascii="Segoe UI" w:eastAsia="Times New Roman" w:hAnsi="Segoe UI" w:cs="Segoe UI"/>
          <w:color w:val="212529"/>
          <w:sz w:val="24"/>
          <w:szCs w:val="24"/>
          <w:lang w:val="es-ES"/>
        </w:rPr>
      </w:pPr>
      <w:r w:rsidRPr="00696DF9">
        <w:rPr>
          <w:rFonts w:ascii="Segoe UI" w:eastAsia="Times New Roman" w:hAnsi="Segoe UI" w:cs="Segoe UI"/>
          <w:b/>
          <w:bCs/>
          <w:color w:val="212529"/>
          <w:sz w:val="24"/>
          <w:szCs w:val="24"/>
          <w:lang w:val="es-ES"/>
        </w:rPr>
        <w:t>Explicación:</w:t>
      </w:r>
      <w:r w:rsidRPr="00696DF9">
        <w:rPr>
          <w:rFonts w:ascii="Segoe UI" w:eastAsia="Times New Roman" w:hAnsi="Segoe UI" w:cs="Segoe UI"/>
          <w:color w:val="212529"/>
          <w:sz w:val="24"/>
          <w:szCs w:val="24"/>
          <w:lang w:val="es-ES"/>
        </w:rPr>
        <w:t> Alrededor del 50 % de los pacientes que padecen un primer episodio de urticaria crónica. El episodio se resuelve en el primer año de evolución. Sin embargo, un grupo no despreciable de los pacientes continuará manifestando síntomas 10 años después del debut clínico inicial. Existen caso aislados descritos en la literatura médica de duración de la urticaria crónica hasta 50 años, tras el debut inicial.</w:t>
      </w:r>
    </w:p>
    <w:p w:rsidR="00696DF9" w:rsidRPr="00696DF9" w:rsidRDefault="00696DF9" w:rsidP="00696DF9">
      <w:pPr>
        <w:shd w:val="clear" w:color="auto" w:fill="4DBF32"/>
        <w:spacing w:before="100" w:beforeAutospacing="1" w:after="100" w:afterAutospacing="1" w:line="360" w:lineRule="atLeast"/>
        <w:jc w:val="both"/>
        <w:rPr>
          <w:rFonts w:ascii="Arial" w:eastAsia="Times New Roman" w:hAnsi="Arial" w:cs="Arial"/>
          <w:color w:val="FFFFFF"/>
          <w:sz w:val="21"/>
          <w:szCs w:val="21"/>
          <w:lang w:val="es-ES"/>
        </w:rPr>
      </w:pPr>
      <w:r w:rsidRPr="00696DF9">
        <w:rPr>
          <w:rFonts w:ascii="Arial" w:eastAsia="Times New Roman" w:hAnsi="Arial" w:cs="Arial"/>
          <w:color w:val="FFFFFF"/>
          <w:sz w:val="21"/>
          <w:szCs w:val="21"/>
          <w:lang w:val="es-ES"/>
        </w:rPr>
        <w:t>Usted contestó correctamente a esta pregunta</w:t>
      </w:r>
    </w:p>
    <w:p w:rsidR="00696DF9" w:rsidRPr="00696DF9" w:rsidRDefault="00696DF9" w:rsidP="00696DF9">
      <w:pPr>
        <w:spacing w:before="100" w:beforeAutospacing="1" w:after="100" w:afterAutospacing="1" w:line="360" w:lineRule="atLeast"/>
        <w:jc w:val="both"/>
        <w:rPr>
          <w:rFonts w:ascii="Arial" w:eastAsia="Times New Roman" w:hAnsi="Arial" w:cs="Arial"/>
          <w:b/>
          <w:bCs/>
          <w:color w:val="212529"/>
          <w:sz w:val="26"/>
          <w:szCs w:val="26"/>
        </w:rPr>
      </w:pPr>
      <w:r w:rsidRPr="00696DF9">
        <w:rPr>
          <w:rFonts w:ascii="Arial" w:eastAsia="Times New Roman" w:hAnsi="Arial" w:cs="Arial"/>
          <w:b/>
          <w:bCs/>
          <w:color w:val="212529"/>
          <w:sz w:val="26"/>
          <w:szCs w:val="26"/>
        </w:rPr>
        <w:t>17. Señale la respuesta correcta:</w:t>
      </w:r>
    </w:p>
    <w:p w:rsidR="00696DF9" w:rsidRPr="00696DF9" w:rsidRDefault="00696DF9" w:rsidP="00696DF9">
      <w:pPr>
        <w:numPr>
          <w:ilvl w:val="0"/>
          <w:numId w:val="17"/>
        </w:numPr>
        <w:spacing w:before="100" w:beforeAutospacing="1" w:after="100" w:afterAutospacing="1" w:line="360" w:lineRule="atLeast"/>
        <w:jc w:val="both"/>
        <w:rPr>
          <w:rFonts w:ascii="Segoe UI" w:eastAsia="Times New Roman" w:hAnsi="Segoe UI" w:cs="Segoe UI"/>
          <w:color w:val="4DBF32"/>
          <w:sz w:val="26"/>
          <w:szCs w:val="26"/>
          <w:lang w:val="es-ES"/>
        </w:rPr>
      </w:pPr>
      <w:r w:rsidRPr="00696DF9">
        <w:rPr>
          <w:rFonts w:ascii="Segoe UI" w:eastAsia="Times New Roman" w:hAnsi="Segoe UI" w:cs="Segoe UI"/>
          <w:color w:val="4DBF32"/>
          <w:sz w:val="26"/>
          <w:szCs w:val="26"/>
          <w:lang w:val="es-ES"/>
        </w:rPr>
        <w:t>a) Es importante diferenciar la urticaria crónica del prurito sin lesiones.</w:t>
      </w:r>
    </w:p>
    <w:p w:rsidR="00696DF9" w:rsidRPr="00696DF9" w:rsidRDefault="00696DF9" w:rsidP="00696DF9">
      <w:pPr>
        <w:numPr>
          <w:ilvl w:val="0"/>
          <w:numId w:val="17"/>
        </w:numPr>
        <w:spacing w:before="100" w:beforeAutospacing="1" w:after="100" w:afterAutospacing="1" w:line="360" w:lineRule="atLeast"/>
        <w:jc w:val="both"/>
        <w:rPr>
          <w:rFonts w:ascii="Segoe UI" w:eastAsia="Times New Roman" w:hAnsi="Segoe UI" w:cs="Segoe UI"/>
          <w:color w:val="212529"/>
          <w:sz w:val="26"/>
          <w:szCs w:val="26"/>
          <w:lang w:val="es-ES"/>
        </w:rPr>
      </w:pPr>
      <w:r w:rsidRPr="00696DF9">
        <w:rPr>
          <w:rFonts w:ascii="Segoe UI" w:eastAsia="Times New Roman" w:hAnsi="Segoe UI" w:cs="Segoe UI"/>
          <w:color w:val="212529"/>
          <w:sz w:val="26"/>
          <w:szCs w:val="26"/>
          <w:lang w:val="es-ES"/>
        </w:rPr>
        <w:t>b) Es equivalente hablar de urticaria crónica y prurito.</w:t>
      </w:r>
    </w:p>
    <w:p w:rsidR="00696DF9" w:rsidRPr="00696DF9" w:rsidRDefault="00696DF9" w:rsidP="00696DF9">
      <w:pPr>
        <w:numPr>
          <w:ilvl w:val="0"/>
          <w:numId w:val="17"/>
        </w:numPr>
        <w:spacing w:before="100" w:beforeAutospacing="1" w:after="100" w:afterAutospacing="1" w:line="360" w:lineRule="atLeast"/>
        <w:jc w:val="both"/>
        <w:rPr>
          <w:rFonts w:ascii="Segoe UI" w:eastAsia="Times New Roman" w:hAnsi="Segoe UI" w:cs="Segoe UI"/>
          <w:color w:val="212529"/>
          <w:sz w:val="26"/>
          <w:szCs w:val="26"/>
          <w:lang w:val="es-ES"/>
        </w:rPr>
      </w:pPr>
      <w:r w:rsidRPr="00696DF9">
        <w:rPr>
          <w:rFonts w:ascii="Segoe UI" w:eastAsia="Times New Roman" w:hAnsi="Segoe UI" w:cs="Segoe UI"/>
          <w:color w:val="212529"/>
          <w:sz w:val="26"/>
          <w:szCs w:val="26"/>
          <w:lang w:val="es-ES"/>
        </w:rPr>
        <w:t>c) La principal causa de la urticaria crónica es la alergia.</w:t>
      </w:r>
    </w:p>
    <w:p w:rsidR="00696DF9" w:rsidRPr="00696DF9" w:rsidRDefault="00696DF9" w:rsidP="00696DF9">
      <w:pPr>
        <w:numPr>
          <w:ilvl w:val="0"/>
          <w:numId w:val="17"/>
        </w:numPr>
        <w:spacing w:before="100" w:beforeAutospacing="1" w:after="100" w:afterAutospacing="1" w:line="360" w:lineRule="atLeast"/>
        <w:jc w:val="both"/>
        <w:rPr>
          <w:rFonts w:ascii="Segoe UI" w:eastAsia="Times New Roman" w:hAnsi="Segoe UI" w:cs="Segoe UI"/>
          <w:color w:val="212529"/>
          <w:sz w:val="26"/>
          <w:szCs w:val="26"/>
          <w:lang w:val="es-ES"/>
        </w:rPr>
      </w:pPr>
      <w:r w:rsidRPr="00696DF9">
        <w:rPr>
          <w:rFonts w:ascii="Segoe UI" w:eastAsia="Times New Roman" w:hAnsi="Segoe UI" w:cs="Segoe UI"/>
          <w:color w:val="212529"/>
          <w:sz w:val="26"/>
          <w:szCs w:val="26"/>
          <w:lang w:val="es-ES"/>
        </w:rPr>
        <w:t>d) La urticaria crónica no es una enfermedad inflamatoria.</w:t>
      </w:r>
    </w:p>
    <w:p w:rsidR="00696DF9" w:rsidRPr="00696DF9" w:rsidRDefault="00696DF9" w:rsidP="00696DF9">
      <w:pPr>
        <w:numPr>
          <w:ilvl w:val="0"/>
          <w:numId w:val="17"/>
        </w:numPr>
        <w:spacing w:before="100" w:beforeAutospacing="1" w:after="100" w:afterAutospacing="1" w:line="360" w:lineRule="atLeast"/>
        <w:jc w:val="both"/>
        <w:rPr>
          <w:rFonts w:ascii="Segoe UI" w:eastAsia="Times New Roman" w:hAnsi="Segoe UI" w:cs="Segoe UI"/>
          <w:color w:val="212529"/>
          <w:sz w:val="26"/>
          <w:szCs w:val="26"/>
          <w:lang w:val="es-ES"/>
        </w:rPr>
      </w:pPr>
      <w:r w:rsidRPr="00696DF9">
        <w:rPr>
          <w:rFonts w:ascii="Segoe UI" w:eastAsia="Times New Roman" w:hAnsi="Segoe UI" w:cs="Segoe UI"/>
          <w:color w:val="212529"/>
          <w:sz w:val="26"/>
          <w:szCs w:val="26"/>
          <w:lang w:val="es-ES"/>
        </w:rPr>
        <w:t>e) No es necesaria una anamnesis para el manejo de la urticaria crónica.</w:t>
      </w:r>
    </w:p>
    <w:p w:rsidR="00696DF9" w:rsidRPr="00696DF9" w:rsidRDefault="00696DF9" w:rsidP="00696DF9">
      <w:pPr>
        <w:spacing w:line="360" w:lineRule="atLeast"/>
        <w:jc w:val="both"/>
        <w:rPr>
          <w:rFonts w:ascii="Segoe UI" w:eastAsia="Times New Roman" w:hAnsi="Segoe UI" w:cs="Segoe UI"/>
          <w:color w:val="212529"/>
          <w:sz w:val="24"/>
          <w:szCs w:val="24"/>
          <w:lang w:val="es-ES"/>
        </w:rPr>
      </w:pPr>
      <w:r w:rsidRPr="00696DF9">
        <w:rPr>
          <w:rFonts w:ascii="Segoe UI" w:eastAsia="Times New Roman" w:hAnsi="Segoe UI" w:cs="Segoe UI"/>
          <w:b/>
          <w:bCs/>
          <w:color w:val="212529"/>
          <w:sz w:val="24"/>
          <w:szCs w:val="24"/>
          <w:lang w:val="es-ES"/>
        </w:rPr>
        <w:t>Explicación:</w:t>
      </w:r>
      <w:r w:rsidRPr="00696DF9">
        <w:rPr>
          <w:rFonts w:ascii="Segoe UI" w:eastAsia="Times New Roman" w:hAnsi="Segoe UI" w:cs="Segoe UI"/>
          <w:color w:val="212529"/>
          <w:sz w:val="24"/>
          <w:szCs w:val="24"/>
          <w:lang w:val="es-ES"/>
        </w:rPr>
        <w:t> Es importante diferenciar la urticaria crónica del prurito aislado y de otras enfermedades dermatológicas que pueden presentar hones, ya que existe una gran confusión por parte del paciente y, en ocasiones, por parte del médico de Atención Primaria.</w:t>
      </w:r>
    </w:p>
    <w:p w:rsidR="00696DF9" w:rsidRPr="00696DF9" w:rsidRDefault="00696DF9" w:rsidP="00696DF9">
      <w:pPr>
        <w:shd w:val="clear" w:color="auto" w:fill="4DBF32"/>
        <w:spacing w:before="100" w:beforeAutospacing="1" w:after="100" w:afterAutospacing="1" w:line="360" w:lineRule="atLeast"/>
        <w:jc w:val="both"/>
        <w:rPr>
          <w:rFonts w:ascii="Arial" w:eastAsia="Times New Roman" w:hAnsi="Arial" w:cs="Arial"/>
          <w:color w:val="FFFFFF"/>
          <w:sz w:val="21"/>
          <w:szCs w:val="21"/>
          <w:lang w:val="es-ES"/>
        </w:rPr>
      </w:pPr>
      <w:r w:rsidRPr="00696DF9">
        <w:rPr>
          <w:rFonts w:ascii="Arial" w:eastAsia="Times New Roman" w:hAnsi="Arial" w:cs="Arial"/>
          <w:color w:val="FFFFFF"/>
          <w:sz w:val="21"/>
          <w:szCs w:val="21"/>
          <w:lang w:val="es-ES"/>
        </w:rPr>
        <w:lastRenderedPageBreak/>
        <w:t>Usted contestó correctamente a esta pregunta</w:t>
      </w:r>
    </w:p>
    <w:p w:rsidR="00696DF9" w:rsidRPr="00696DF9" w:rsidRDefault="00696DF9" w:rsidP="00696DF9">
      <w:pPr>
        <w:spacing w:before="100" w:beforeAutospacing="1" w:after="100" w:afterAutospacing="1" w:line="360" w:lineRule="atLeast"/>
        <w:jc w:val="both"/>
        <w:rPr>
          <w:rFonts w:ascii="Arial" w:eastAsia="Times New Roman" w:hAnsi="Arial" w:cs="Arial"/>
          <w:b/>
          <w:bCs/>
          <w:color w:val="212529"/>
          <w:sz w:val="26"/>
          <w:szCs w:val="26"/>
          <w:lang w:val="es-ES"/>
        </w:rPr>
      </w:pPr>
      <w:r w:rsidRPr="00696DF9">
        <w:rPr>
          <w:rFonts w:ascii="Arial" w:eastAsia="Times New Roman" w:hAnsi="Arial" w:cs="Arial"/>
          <w:b/>
          <w:bCs/>
          <w:color w:val="212529"/>
          <w:sz w:val="26"/>
          <w:szCs w:val="26"/>
          <w:lang w:val="es-ES"/>
        </w:rPr>
        <w:t>18. Señale la respuesta falsa a propósito de un proceso asistencial:</w:t>
      </w:r>
    </w:p>
    <w:p w:rsidR="00696DF9" w:rsidRPr="00696DF9" w:rsidRDefault="00696DF9" w:rsidP="00696DF9">
      <w:pPr>
        <w:numPr>
          <w:ilvl w:val="0"/>
          <w:numId w:val="18"/>
        </w:numPr>
        <w:spacing w:before="100" w:beforeAutospacing="1" w:after="100" w:afterAutospacing="1" w:line="360" w:lineRule="atLeast"/>
        <w:jc w:val="both"/>
        <w:rPr>
          <w:rFonts w:ascii="Segoe UI" w:eastAsia="Times New Roman" w:hAnsi="Segoe UI" w:cs="Segoe UI"/>
          <w:color w:val="4DBF32"/>
          <w:sz w:val="26"/>
          <w:szCs w:val="26"/>
          <w:lang w:val="es-ES"/>
        </w:rPr>
      </w:pPr>
      <w:r w:rsidRPr="00696DF9">
        <w:rPr>
          <w:rFonts w:ascii="Segoe UI" w:eastAsia="Times New Roman" w:hAnsi="Segoe UI" w:cs="Segoe UI"/>
          <w:color w:val="4DBF32"/>
          <w:sz w:val="26"/>
          <w:szCs w:val="26"/>
          <w:lang w:val="es-ES"/>
        </w:rPr>
        <w:t>a) No se compone de la implicación activa de los profesionales.</w:t>
      </w:r>
    </w:p>
    <w:p w:rsidR="00696DF9" w:rsidRPr="00696DF9" w:rsidRDefault="00696DF9" w:rsidP="00696DF9">
      <w:pPr>
        <w:numPr>
          <w:ilvl w:val="0"/>
          <w:numId w:val="18"/>
        </w:numPr>
        <w:spacing w:before="100" w:beforeAutospacing="1" w:after="100" w:afterAutospacing="1" w:line="360" w:lineRule="atLeast"/>
        <w:jc w:val="both"/>
        <w:rPr>
          <w:rFonts w:ascii="Segoe UI" w:eastAsia="Times New Roman" w:hAnsi="Segoe UI" w:cs="Segoe UI"/>
          <w:color w:val="212529"/>
          <w:sz w:val="26"/>
          <w:szCs w:val="26"/>
          <w:lang w:val="es-ES"/>
        </w:rPr>
      </w:pPr>
      <w:r w:rsidRPr="00696DF9">
        <w:rPr>
          <w:rFonts w:ascii="Segoe UI" w:eastAsia="Times New Roman" w:hAnsi="Segoe UI" w:cs="Segoe UI"/>
          <w:color w:val="212529"/>
          <w:sz w:val="26"/>
          <w:szCs w:val="26"/>
          <w:lang w:val="es-ES"/>
        </w:rPr>
        <w:t>b) Se compone de una práctica clínica adecuada.</w:t>
      </w:r>
    </w:p>
    <w:p w:rsidR="00696DF9" w:rsidRPr="00696DF9" w:rsidRDefault="00696DF9" w:rsidP="00696DF9">
      <w:pPr>
        <w:numPr>
          <w:ilvl w:val="0"/>
          <w:numId w:val="18"/>
        </w:numPr>
        <w:spacing w:before="100" w:beforeAutospacing="1" w:after="100" w:afterAutospacing="1" w:line="360" w:lineRule="atLeast"/>
        <w:jc w:val="both"/>
        <w:rPr>
          <w:rFonts w:ascii="Segoe UI" w:eastAsia="Times New Roman" w:hAnsi="Segoe UI" w:cs="Segoe UI"/>
          <w:color w:val="212529"/>
          <w:sz w:val="26"/>
          <w:szCs w:val="26"/>
          <w:lang w:val="es-ES"/>
        </w:rPr>
      </w:pPr>
      <w:r w:rsidRPr="00696DF9">
        <w:rPr>
          <w:rFonts w:ascii="Segoe UI" w:eastAsia="Times New Roman" w:hAnsi="Segoe UI" w:cs="Segoe UI"/>
          <w:color w:val="212529"/>
          <w:sz w:val="26"/>
          <w:szCs w:val="26"/>
          <w:lang w:val="es-ES"/>
        </w:rPr>
        <w:t>c) Se compone de un sistema de información integrado.</w:t>
      </w:r>
    </w:p>
    <w:p w:rsidR="00696DF9" w:rsidRPr="00696DF9" w:rsidRDefault="00696DF9" w:rsidP="00696DF9">
      <w:pPr>
        <w:numPr>
          <w:ilvl w:val="0"/>
          <w:numId w:val="18"/>
        </w:numPr>
        <w:spacing w:before="100" w:beforeAutospacing="1" w:after="100" w:afterAutospacing="1" w:line="360" w:lineRule="atLeast"/>
        <w:jc w:val="both"/>
        <w:rPr>
          <w:rFonts w:ascii="Segoe UI" w:eastAsia="Times New Roman" w:hAnsi="Segoe UI" w:cs="Segoe UI"/>
          <w:color w:val="212529"/>
          <w:sz w:val="26"/>
          <w:szCs w:val="26"/>
          <w:lang w:val="es-ES"/>
        </w:rPr>
      </w:pPr>
      <w:r w:rsidRPr="00696DF9">
        <w:rPr>
          <w:rFonts w:ascii="Segoe UI" w:eastAsia="Times New Roman" w:hAnsi="Segoe UI" w:cs="Segoe UI"/>
          <w:color w:val="212529"/>
          <w:sz w:val="26"/>
          <w:szCs w:val="26"/>
          <w:lang w:val="es-ES"/>
        </w:rPr>
        <w:t>d) Se compone de la continuidad en la asistencia.</w:t>
      </w:r>
    </w:p>
    <w:p w:rsidR="00696DF9" w:rsidRPr="00696DF9" w:rsidRDefault="00696DF9" w:rsidP="00696DF9">
      <w:pPr>
        <w:numPr>
          <w:ilvl w:val="0"/>
          <w:numId w:val="18"/>
        </w:numPr>
        <w:spacing w:before="100" w:beforeAutospacing="1" w:after="100" w:afterAutospacing="1" w:line="360" w:lineRule="atLeast"/>
        <w:jc w:val="both"/>
        <w:rPr>
          <w:rFonts w:ascii="Segoe UI" w:eastAsia="Times New Roman" w:hAnsi="Segoe UI" w:cs="Segoe UI"/>
          <w:color w:val="212529"/>
          <w:sz w:val="26"/>
          <w:szCs w:val="26"/>
          <w:lang w:val="es-ES"/>
        </w:rPr>
      </w:pPr>
      <w:r w:rsidRPr="00696DF9">
        <w:rPr>
          <w:rFonts w:ascii="Segoe UI" w:eastAsia="Times New Roman" w:hAnsi="Segoe UI" w:cs="Segoe UI"/>
          <w:color w:val="212529"/>
          <w:sz w:val="26"/>
          <w:szCs w:val="26"/>
          <w:lang w:val="es-ES"/>
        </w:rPr>
        <w:t>e) Debe asegurar la cooperación de diferentes niveles asistenciales.</w:t>
      </w:r>
    </w:p>
    <w:p w:rsidR="00696DF9" w:rsidRPr="00696DF9" w:rsidRDefault="00696DF9" w:rsidP="00696DF9">
      <w:pPr>
        <w:spacing w:line="360" w:lineRule="atLeast"/>
        <w:jc w:val="both"/>
        <w:rPr>
          <w:rFonts w:ascii="Segoe UI" w:eastAsia="Times New Roman" w:hAnsi="Segoe UI" w:cs="Segoe UI"/>
          <w:color w:val="212529"/>
          <w:sz w:val="24"/>
          <w:szCs w:val="24"/>
          <w:lang w:val="es-ES"/>
        </w:rPr>
      </w:pPr>
      <w:r w:rsidRPr="00696DF9">
        <w:rPr>
          <w:rFonts w:ascii="Segoe UI" w:eastAsia="Times New Roman" w:hAnsi="Segoe UI" w:cs="Segoe UI"/>
          <w:b/>
          <w:bCs/>
          <w:color w:val="212529"/>
          <w:sz w:val="24"/>
          <w:szCs w:val="24"/>
          <w:lang w:val="es-ES"/>
        </w:rPr>
        <w:t>Explicación:</w:t>
      </w:r>
      <w:r w:rsidRPr="00696DF9">
        <w:rPr>
          <w:rFonts w:ascii="Segoe UI" w:eastAsia="Times New Roman" w:hAnsi="Segoe UI" w:cs="Segoe UI"/>
          <w:color w:val="212529"/>
          <w:sz w:val="24"/>
          <w:szCs w:val="24"/>
          <w:lang w:val="es-ES"/>
        </w:rPr>
        <w:t> Un proceso asistencial responde a una visión que engloba el devenir del paciente en el sistema sanitario y comprende una correcta práctica clínica, un sistema de información integrado, una implicación de los profesionales, una continuidad en la asistencia, así como la cooperación entre los diferentes niveles que lo componen.</w:t>
      </w:r>
    </w:p>
    <w:p w:rsidR="00696DF9" w:rsidRPr="00696DF9" w:rsidRDefault="00696DF9" w:rsidP="00696DF9">
      <w:pPr>
        <w:shd w:val="clear" w:color="auto" w:fill="4DBF32"/>
        <w:spacing w:before="100" w:beforeAutospacing="1" w:after="100" w:afterAutospacing="1" w:line="360" w:lineRule="atLeast"/>
        <w:jc w:val="both"/>
        <w:rPr>
          <w:rFonts w:ascii="Arial" w:eastAsia="Times New Roman" w:hAnsi="Arial" w:cs="Arial"/>
          <w:color w:val="FFFFFF"/>
          <w:sz w:val="21"/>
          <w:szCs w:val="21"/>
          <w:lang w:val="es-ES"/>
        </w:rPr>
      </w:pPr>
      <w:r w:rsidRPr="00696DF9">
        <w:rPr>
          <w:rFonts w:ascii="Arial" w:eastAsia="Times New Roman" w:hAnsi="Arial" w:cs="Arial"/>
          <w:color w:val="FFFFFF"/>
          <w:sz w:val="21"/>
          <w:szCs w:val="21"/>
          <w:lang w:val="es-ES"/>
        </w:rPr>
        <w:t>Usted contestó correctamente a esta pregunta</w:t>
      </w:r>
    </w:p>
    <w:p w:rsidR="00696DF9" w:rsidRPr="00696DF9" w:rsidRDefault="00696DF9" w:rsidP="00696DF9">
      <w:pPr>
        <w:spacing w:before="100" w:beforeAutospacing="1" w:after="100" w:afterAutospacing="1" w:line="360" w:lineRule="atLeast"/>
        <w:jc w:val="both"/>
        <w:rPr>
          <w:rFonts w:ascii="Arial" w:eastAsia="Times New Roman" w:hAnsi="Arial" w:cs="Arial"/>
          <w:b/>
          <w:bCs/>
          <w:color w:val="212529"/>
          <w:sz w:val="26"/>
          <w:szCs w:val="26"/>
        </w:rPr>
      </w:pPr>
      <w:r w:rsidRPr="00696DF9">
        <w:rPr>
          <w:rFonts w:ascii="Arial" w:eastAsia="Times New Roman" w:hAnsi="Arial" w:cs="Arial"/>
          <w:b/>
          <w:bCs/>
          <w:color w:val="212529"/>
          <w:sz w:val="26"/>
          <w:szCs w:val="26"/>
          <w:lang w:val="es-ES"/>
        </w:rPr>
        <w:t xml:space="preserve">19. Criterios del Servicio Navarro de Salud para derivación al dermatólogo. </w:t>
      </w:r>
      <w:r w:rsidRPr="00696DF9">
        <w:rPr>
          <w:rFonts w:ascii="Arial" w:eastAsia="Times New Roman" w:hAnsi="Arial" w:cs="Arial"/>
          <w:b/>
          <w:bCs/>
          <w:color w:val="212529"/>
          <w:sz w:val="26"/>
          <w:szCs w:val="26"/>
        </w:rPr>
        <w:t>Señale la respuesta falsa:</w:t>
      </w:r>
    </w:p>
    <w:p w:rsidR="00696DF9" w:rsidRPr="00696DF9" w:rsidRDefault="00696DF9" w:rsidP="00696DF9">
      <w:pPr>
        <w:numPr>
          <w:ilvl w:val="0"/>
          <w:numId w:val="19"/>
        </w:numPr>
        <w:spacing w:before="100" w:beforeAutospacing="1" w:after="100" w:afterAutospacing="1" w:line="360" w:lineRule="atLeast"/>
        <w:jc w:val="both"/>
        <w:rPr>
          <w:rFonts w:ascii="Segoe UI" w:eastAsia="Times New Roman" w:hAnsi="Segoe UI" w:cs="Segoe UI"/>
          <w:color w:val="212529"/>
          <w:sz w:val="26"/>
          <w:szCs w:val="26"/>
          <w:lang w:val="es-ES"/>
        </w:rPr>
      </w:pPr>
      <w:r w:rsidRPr="00696DF9">
        <w:rPr>
          <w:rFonts w:ascii="Segoe UI" w:eastAsia="Times New Roman" w:hAnsi="Segoe UI" w:cs="Segoe UI"/>
          <w:color w:val="212529"/>
          <w:sz w:val="26"/>
          <w:szCs w:val="26"/>
          <w:lang w:val="es-ES"/>
        </w:rPr>
        <w:t>a) Prurito con lesiones cutáneas generalizadas.</w:t>
      </w:r>
    </w:p>
    <w:p w:rsidR="00696DF9" w:rsidRPr="00696DF9" w:rsidRDefault="00696DF9" w:rsidP="00696DF9">
      <w:pPr>
        <w:numPr>
          <w:ilvl w:val="0"/>
          <w:numId w:val="19"/>
        </w:numPr>
        <w:spacing w:before="100" w:beforeAutospacing="1" w:after="100" w:afterAutospacing="1" w:line="360" w:lineRule="atLeast"/>
        <w:jc w:val="both"/>
        <w:rPr>
          <w:rFonts w:ascii="Segoe UI" w:eastAsia="Times New Roman" w:hAnsi="Segoe UI" w:cs="Segoe UI"/>
          <w:color w:val="212529"/>
          <w:sz w:val="26"/>
          <w:szCs w:val="26"/>
        </w:rPr>
      </w:pPr>
      <w:r w:rsidRPr="00696DF9">
        <w:rPr>
          <w:rFonts w:ascii="Segoe UI" w:eastAsia="Times New Roman" w:hAnsi="Segoe UI" w:cs="Segoe UI"/>
          <w:color w:val="212529"/>
          <w:sz w:val="26"/>
          <w:szCs w:val="26"/>
        </w:rPr>
        <w:t>b) Prurito sine materia.</w:t>
      </w:r>
    </w:p>
    <w:p w:rsidR="00696DF9" w:rsidRPr="00696DF9" w:rsidRDefault="00696DF9" w:rsidP="00696DF9">
      <w:pPr>
        <w:numPr>
          <w:ilvl w:val="0"/>
          <w:numId w:val="19"/>
        </w:numPr>
        <w:spacing w:before="100" w:beforeAutospacing="1" w:after="100" w:afterAutospacing="1" w:line="360" w:lineRule="atLeast"/>
        <w:jc w:val="both"/>
        <w:rPr>
          <w:rFonts w:ascii="Segoe UI" w:eastAsia="Times New Roman" w:hAnsi="Segoe UI" w:cs="Segoe UI"/>
          <w:color w:val="212529"/>
          <w:sz w:val="26"/>
          <w:szCs w:val="26"/>
          <w:lang w:val="es-ES"/>
        </w:rPr>
      </w:pPr>
      <w:r w:rsidRPr="00696DF9">
        <w:rPr>
          <w:rFonts w:ascii="Segoe UI" w:eastAsia="Times New Roman" w:hAnsi="Segoe UI" w:cs="Segoe UI"/>
          <w:color w:val="212529"/>
          <w:sz w:val="26"/>
          <w:szCs w:val="26"/>
          <w:lang w:val="es-ES"/>
        </w:rPr>
        <w:t>c) Prurito acompañado de adenopatías.</w:t>
      </w:r>
    </w:p>
    <w:p w:rsidR="00696DF9" w:rsidRPr="00696DF9" w:rsidRDefault="00696DF9" w:rsidP="00696DF9">
      <w:pPr>
        <w:numPr>
          <w:ilvl w:val="0"/>
          <w:numId w:val="19"/>
        </w:numPr>
        <w:spacing w:before="100" w:beforeAutospacing="1" w:after="100" w:afterAutospacing="1" w:line="360" w:lineRule="atLeast"/>
        <w:jc w:val="both"/>
        <w:rPr>
          <w:rFonts w:ascii="Segoe UI" w:eastAsia="Times New Roman" w:hAnsi="Segoe UI" w:cs="Segoe UI"/>
          <w:color w:val="4DBF32"/>
          <w:sz w:val="26"/>
          <w:szCs w:val="26"/>
          <w:lang w:val="es-ES"/>
        </w:rPr>
      </w:pPr>
      <w:r w:rsidRPr="00696DF9">
        <w:rPr>
          <w:rFonts w:ascii="Segoe UI" w:eastAsia="Times New Roman" w:hAnsi="Segoe UI" w:cs="Segoe UI"/>
          <w:color w:val="4DBF32"/>
          <w:sz w:val="26"/>
          <w:szCs w:val="26"/>
          <w:lang w:val="es-ES"/>
        </w:rPr>
        <w:t>d) Reacción sistémica urticarial por picadura de himenópteros. </w:t>
      </w:r>
    </w:p>
    <w:p w:rsidR="00696DF9" w:rsidRPr="00696DF9" w:rsidRDefault="00696DF9" w:rsidP="00696DF9">
      <w:pPr>
        <w:numPr>
          <w:ilvl w:val="0"/>
          <w:numId w:val="19"/>
        </w:numPr>
        <w:spacing w:before="100" w:beforeAutospacing="1" w:after="100" w:afterAutospacing="1" w:line="360" w:lineRule="atLeast"/>
        <w:jc w:val="both"/>
        <w:rPr>
          <w:rFonts w:ascii="Segoe UI" w:eastAsia="Times New Roman" w:hAnsi="Segoe UI" w:cs="Segoe UI"/>
          <w:color w:val="212529"/>
          <w:sz w:val="26"/>
          <w:szCs w:val="26"/>
          <w:lang w:val="es-ES"/>
        </w:rPr>
      </w:pPr>
      <w:r w:rsidRPr="00696DF9">
        <w:rPr>
          <w:rFonts w:ascii="Segoe UI" w:eastAsia="Times New Roman" w:hAnsi="Segoe UI" w:cs="Segoe UI"/>
          <w:color w:val="212529"/>
          <w:sz w:val="26"/>
          <w:szCs w:val="26"/>
          <w:lang w:val="es-ES"/>
        </w:rPr>
        <w:t>e) Prurito en convivientes (sospecha de parasitosis/escabiosis).</w:t>
      </w:r>
    </w:p>
    <w:p w:rsidR="00696DF9" w:rsidRPr="00696DF9" w:rsidRDefault="00696DF9" w:rsidP="00696DF9">
      <w:pPr>
        <w:spacing w:line="360" w:lineRule="atLeast"/>
        <w:jc w:val="both"/>
        <w:rPr>
          <w:rFonts w:ascii="Segoe UI" w:eastAsia="Times New Roman" w:hAnsi="Segoe UI" w:cs="Segoe UI"/>
          <w:color w:val="212529"/>
          <w:sz w:val="24"/>
          <w:szCs w:val="24"/>
          <w:lang w:val="es-ES"/>
        </w:rPr>
      </w:pPr>
      <w:r w:rsidRPr="00696DF9">
        <w:rPr>
          <w:rFonts w:ascii="Segoe UI" w:eastAsia="Times New Roman" w:hAnsi="Segoe UI" w:cs="Segoe UI"/>
          <w:b/>
          <w:bCs/>
          <w:color w:val="212529"/>
          <w:sz w:val="24"/>
          <w:szCs w:val="24"/>
          <w:lang w:val="es-ES"/>
        </w:rPr>
        <w:t>Explicación:</w:t>
      </w:r>
      <w:r w:rsidRPr="00696DF9">
        <w:rPr>
          <w:rFonts w:ascii="Segoe UI" w:eastAsia="Times New Roman" w:hAnsi="Segoe UI" w:cs="Segoe UI"/>
          <w:color w:val="212529"/>
          <w:sz w:val="24"/>
          <w:szCs w:val="24"/>
          <w:lang w:val="es-ES"/>
        </w:rPr>
        <w:t> En el caso de reacciones sistémicas por picadura de himenóptero, los pacientes deben ser remitidos al alergólogo, el cual procederá a realizar el estudio confirmatorio necesario y si procede a tratamiento inmunoterápico, etc.</w:t>
      </w:r>
    </w:p>
    <w:p w:rsidR="00696DF9" w:rsidRPr="00696DF9" w:rsidRDefault="00696DF9" w:rsidP="00696DF9">
      <w:pPr>
        <w:shd w:val="clear" w:color="auto" w:fill="4DBF32"/>
        <w:spacing w:before="100" w:beforeAutospacing="1" w:after="100" w:afterAutospacing="1" w:line="360" w:lineRule="atLeast"/>
        <w:jc w:val="both"/>
        <w:rPr>
          <w:rFonts w:ascii="Arial" w:eastAsia="Times New Roman" w:hAnsi="Arial" w:cs="Arial"/>
          <w:color w:val="FFFFFF"/>
          <w:sz w:val="21"/>
          <w:szCs w:val="21"/>
          <w:lang w:val="es-ES"/>
        </w:rPr>
      </w:pPr>
      <w:r w:rsidRPr="00696DF9">
        <w:rPr>
          <w:rFonts w:ascii="Arial" w:eastAsia="Times New Roman" w:hAnsi="Arial" w:cs="Arial"/>
          <w:color w:val="FFFFFF"/>
          <w:sz w:val="21"/>
          <w:szCs w:val="21"/>
          <w:lang w:val="es-ES"/>
        </w:rPr>
        <w:t>Usted contestó correctamente a esta pregunta</w:t>
      </w:r>
    </w:p>
    <w:p w:rsidR="00696DF9" w:rsidRPr="00696DF9" w:rsidRDefault="00696DF9" w:rsidP="00696DF9">
      <w:pPr>
        <w:spacing w:before="100" w:beforeAutospacing="1" w:after="100" w:afterAutospacing="1" w:line="360" w:lineRule="atLeast"/>
        <w:jc w:val="both"/>
        <w:rPr>
          <w:rFonts w:ascii="Arial" w:eastAsia="Times New Roman" w:hAnsi="Arial" w:cs="Arial"/>
          <w:b/>
          <w:bCs/>
          <w:color w:val="212529"/>
          <w:sz w:val="26"/>
          <w:szCs w:val="26"/>
          <w:lang w:val="es-ES"/>
        </w:rPr>
      </w:pPr>
      <w:r w:rsidRPr="00696DF9">
        <w:rPr>
          <w:rFonts w:ascii="Arial" w:eastAsia="Times New Roman" w:hAnsi="Arial" w:cs="Arial"/>
          <w:b/>
          <w:bCs/>
          <w:color w:val="212529"/>
          <w:sz w:val="26"/>
          <w:szCs w:val="26"/>
          <w:lang w:val="es-ES"/>
        </w:rPr>
        <w:t>20. La Guía Clínica de Urticaria en Atención Primaria (Hospital General Universitario de Alicante) propone remitir a unidades especializadas todas, excepto:</w:t>
      </w:r>
    </w:p>
    <w:p w:rsidR="00696DF9" w:rsidRPr="00696DF9" w:rsidRDefault="00696DF9" w:rsidP="00696DF9">
      <w:pPr>
        <w:numPr>
          <w:ilvl w:val="0"/>
          <w:numId w:val="20"/>
        </w:numPr>
        <w:spacing w:before="100" w:beforeAutospacing="1" w:after="100" w:afterAutospacing="1" w:line="360" w:lineRule="atLeast"/>
        <w:jc w:val="both"/>
        <w:rPr>
          <w:rFonts w:ascii="Segoe UI" w:eastAsia="Times New Roman" w:hAnsi="Segoe UI" w:cs="Segoe UI"/>
          <w:color w:val="212529"/>
          <w:sz w:val="26"/>
          <w:szCs w:val="26"/>
          <w:lang w:val="es-ES"/>
        </w:rPr>
      </w:pPr>
      <w:r w:rsidRPr="00696DF9">
        <w:rPr>
          <w:rFonts w:ascii="Segoe UI" w:eastAsia="Times New Roman" w:hAnsi="Segoe UI" w:cs="Segoe UI"/>
          <w:color w:val="212529"/>
          <w:sz w:val="26"/>
          <w:szCs w:val="26"/>
          <w:lang w:val="es-ES"/>
        </w:rPr>
        <w:t>a) Angioedema como principal manifestación de urticaria.</w:t>
      </w:r>
    </w:p>
    <w:p w:rsidR="00696DF9" w:rsidRPr="00696DF9" w:rsidRDefault="00696DF9" w:rsidP="00696DF9">
      <w:pPr>
        <w:numPr>
          <w:ilvl w:val="0"/>
          <w:numId w:val="20"/>
        </w:numPr>
        <w:spacing w:before="100" w:beforeAutospacing="1" w:after="100" w:afterAutospacing="1" w:line="360" w:lineRule="atLeast"/>
        <w:jc w:val="both"/>
        <w:rPr>
          <w:rFonts w:ascii="Segoe UI" w:eastAsia="Times New Roman" w:hAnsi="Segoe UI" w:cs="Segoe UI"/>
          <w:color w:val="212529"/>
          <w:sz w:val="26"/>
          <w:szCs w:val="26"/>
          <w:lang w:val="es-ES"/>
        </w:rPr>
      </w:pPr>
      <w:r w:rsidRPr="00696DF9">
        <w:rPr>
          <w:rFonts w:ascii="Segoe UI" w:eastAsia="Times New Roman" w:hAnsi="Segoe UI" w:cs="Segoe UI"/>
          <w:color w:val="212529"/>
          <w:sz w:val="26"/>
          <w:szCs w:val="26"/>
          <w:lang w:val="es-ES"/>
        </w:rPr>
        <w:t>b) Urticaria crónica refractaria a dosis altas de antihistamínicos.</w:t>
      </w:r>
    </w:p>
    <w:p w:rsidR="00696DF9" w:rsidRPr="00696DF9" w:rsidRDefault="00696DF9" w:rsidP="00696DF9">
      <w:pPr>
        <w:numPr>
          <w:ilvl w:val="0"/>
          <w:numId w:val="20"/>
        </w:numPr>
        <w:spacing w:before="100" w:beforeAutospacing="1" w:after="100" w:afterAutospacing="1" w:line="360" w:lineRule="atLeast"/>
        <w:jc w:val="both"/>
        <w:rPr>
          <w:rFonts w:ascii="Segoe UI" w:eastAsia="Times New Roman" w:hAnsi="Segoe UI" w:cs="Segoe UI"/>
          <w:color w:val="212529"/>
          <w:sz w:val="26"/>
          <w:szCs w:val="26"/>
          <w:lang w:val="es-ES"/>
        </w:rPr>
      </w:pPr>
      <w:r w:rsidRPr="00696DF9">
        <w:rPr>
          <w:rFonts w:ascii="Segoe UI" w:eastAsia="Times New Roman" w:hAnsi="Segoe UI" w:cs="Segoe UI"/>
          <w:color w:val="212529"/>
          <w:sz w:val="26"/>
          <w:szCs w:val="26"/>
          <w:lang w:val="es-ES"/>
        </w:rPr>
        <w:lastRenderedPageBreak/>
        <w:t>c) Si un paciente precisa más de 2-3 tandas cortas de corticoides.</w:t>
      </w:r>
    </w:p>
    <w:p w:rsidR="00696DF9" w:rsidRPr="00696DF9" w:rsidRDefault="00696DF9" w:rsidP="00696DF9">
      <w:pPr>
        <w:numPr>
          <w:ilvl w:val="0"/>
          <w:numId w:val="20"/>
        </w:numPr>
        <w:spacing w:before="100" w:beforeAutospacing="1" w:after="100" w:afterAutospacing="1" w:line="360" w:lineRule="atLeast"/>
        <w:jc w:val="both"/>
        <w:rPr>
          <w:rFonts w:ascii="Segoe UI" w:eastAsia="Times New Roman" w:hAnsi="Segoe UI" w:cs="Segoe UI"/>
          <w:color w:val="4DBF32"/>
          <w:sz w:val="26"/>
          <w:szCs w:val="26"/>
          <w:lang w:val="es-ES"/>
        </w:rPr>
      </w:pPr>
      <w:r w:rsidRPr="00696DF9">
        <w:rPr>
          <w:rFonts w:ascii="Segoe UI" w:eastAsia="Times New Roman" w:hAnsi="Segoe UI" w:cs="Segoe UI"/>
          <w:color w:val="4DBF32"/>
          <w:sz w:val="26"/>
          <w:szCs w:val="26"/>
          <w:lang w:val="es-ES"/>
        </w:rPr>
        <w:t>d) Urticaria controlada con antihistamínicos anti-H1.</w:t>
      </w:r>
    </w:p>
    <w:p w:rsidR="00696DF9" w:rsidRPr="00696DF9" w:rsidRDefault="00696DF9" w:rsidP="00696DF9">
      <w:pPr>
        <w:numPr>
          <w:ilvl w:val="0"/>
          <w:numId w:val="20"/>
        </w:numPr>
        <w:spacing w:before="100" w:beforeAutospacing="1" w:after="100" w:afterAutospacing="1" w:line="360" w:lineRule="atLeast"/>
        <w:jc w:val="both"/>
        <w:rPr>
          <w:rFonts w:ascii="Segoe UI" w:eastAsia="Times New Roman" w:hAnsi="Segoe UI" w:cs="Segoe UI"/>
          <w:color w:val="212529"/>
          <w:sz w:val="26"/>
          <w:szCs w:val="26"/>
        </w:rPr>
      </w:pPr>
      <w:r w:rsidRPr="00696DF9">
        <w:rPr>
          <w:rFonts w:ascii="Segoe UI" w:eastAsia="Times New Roman" w:hAnsi="Segoe UI" w:cs="Segoe UI"/>
          <w:color w:val="212529"/>
          <w:sz w:val="26"/>
          <w:szCs w:val="26"/>
        </w:rPr>
        <w:t>e) Cuadros urticariformes atípicos.</w:t>
      </w:r>
    </w:p>
    <w:p w:rsidR="00696DF9" w:rsidRPr="00696DF9" w:rsidRDefault="00696DF9" w:rsidP="00696DF9">
      <w:pPr>
        <w:spacing w:line="360" w:lineRule="atLeast"/>
        <w:jc w:val="both"/>
        <w:rPr>
          <w:rFonts w:ascii="Segoe UI" w:eastAsia="Times New Roman" w:hAnsi="Segoe UI" w:cs="Segoe UI"/>
          <w:color w:val="212529"/>
          <w:sz w:val="24"/>
          <w:szCs w:val="24"/>
          <w:lang w:val="es-ES"/>
        </w:rPr>
      </w:pPr>
      <w:r w:rsidRPr="00696DF9">
        <w:rPr>
          <w:rFonts w:ascii="Segoe UI" w:eastAsia="Times New Roman" w:hAnsi="Segoe UI" w:cs="Segoe UI"/>
          <w:b/>
          <w:bCs/>
          <w:color w:val="212529"/>
          <w:sz w:val="24"/>
          <w:szCs w:val="24"/>
          <w:lang w:val="es-ES"/>
        </w:rPr>
        <w:t>Explicación:</w:t>
      </w:r>
      <w:r w:rsidRPr="00696DF9">
        <w:rPr>
          <w:rFonts w:ascii="Segoe UI" w:eastAsia="Times New Roman" w:hAnsi="Segoe UI" w:cs="Segoe UI"/>
          <w:color w:val="212529"/>
          <w:sz w:val="24"/>
          <w:szCs w:val="24"/>
          <w:lang w:val="es-ES"/>
        </w:rPr>
        <w:t> Según el algoritmo diseñado por el Hospital Universitario de Alicante los pacientes que se controlan con antihistamínicos anti H1 no son susceptibles de derivación a ninguna unidad especializada y deben ser seguidos por sus respectivos médicos de primaria.</w:t>
      </w:r>
    </w:p>
    <w:p w:rsidR="00687E50" w:rsidRPr="00696DF9" w:rsidRDefault="00687E50">
      <w:pPr>
        <w:rPr>
          <w:lang w:val="es-ES"/>
        </w:rPr>
      </w:pPr>
    </w:p>
    <w:sectPr w:rsidR="00687E50" w:rsidRPr="00696DF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625EF"/>
    <w:multiLevelType w:val="multilevel"/>
    <w:tmpl w:val="10BAEB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9B5FAA"/>
    <w:multiLevelType w:val="multilevel"/>
    <w:tmpl w:val="7D580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9C2D55"/>
    <w:multiLevelType w:val="multilevel"/>
    <w:tmpl w:val="C0AE58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5533D0"/>
    <w:multiLevelType w:val="multilevel"/>
    <w:tmpl w:val="D1C05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FCA4FC4"/>
    <w:multiLevelType w:val="multilevel"/>
    <w:tmpl w:val="A75ACC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21710B1"/>
    <w:multiLevelType w:val="multilevel"/>
    <w:tmpl w:val="37CC1B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4741CE7"/>
    <w:multiLevelType w:val="multilevel"/>
    <w:tmpl w:val="F7DEB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99874C4"/>
    <w:multiLevelType w:val="multilevel"/>
    <w:tmpl w:val="9C2813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A5C4DB2"/>
    <w:multiLevelType w:val="multilevel"/>
    <w:tmpl w:val="BDC01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4251EC9"/>
    <w:multiLevelType w:val="multilevel"/>
    <w:tmpl w:val="8B0CC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4BF48AE"/>
    <w:multiLevelType w:val="multilevel"/>
    <w:tmpl w:val="15CA2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FB12B5C"/>
    <w:multiLevelType w:val="multilevel"/>
    <w:tmpl w:val="2B107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06B79F4"/>
    <w:multiLevelType w:val="multilevel"/>
    <w:tmpl w:val="8B746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1C825F1"/>
    <w:multiLevelType w:val="multilevel"/>
    <w:tmpl w:val="94BA3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F16186A"/>
    <w:multiLevelType w:val="multilevel"/>
    <w:tmpl w:val="BA223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6690A96"/>
    <w:multiLevelType w:val="multilevel"/>
    <w:tmpl w:val="916A3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D507567"/>
    <w:multiLevelType w:val="multilevel"/>
    <w:tmpl w:val="A0CE6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F956D16"/>
    <w:multiLevelType w:val="multilevel"/>
    <w:tmpl w:val="48BCEB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79E46ED"/>
    <w:multiLevelType w:val="multilevel"/>
    <w:tmpl w:val="88F6D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8EE148A"/>
    <w:multiLevelType w:val="multilevel"/>
    <w:tmpl w:val="5EFA3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16"/>
  </w:num>
  <w:num w:numId="3">
    <w:abstractNumId w:val="19"/>
  </w:num>
  <w:num w:numId="4">
    <w:abstractNumId w:val="9"/>
  </w:num>
  <w:num w:numId="5">
    <w:abstractNumId w:val="0"/>
  </w:num>
  <w:num w:numId="6">
    <w:abstractNumId w:val="12"/>
  </w:num>
  <w:num w:numId="7">
    <w:abstractNumId w:val="2"/>
  </w:num>
  <w:num w:numId="8">
    <w:abstractNumId w:val="17"/>
  </w:num>
  <w:num w:numId="9">
    <w:abstractNumId w:val="18"/>
  </w:num>
  <w:num w:numId="10">
    <w:abstractNumId w:val="13"/>
  </w:num>
  <w:num w:numId="11">
    <w:abstractNumId w:val="1"/>
  </w:num>
  <w:num w:numId="12">
    <w:abstractNumId w:val="6"/>
  </w:num>
  <w:num w:numId="13">
    <w:abstractNumId w:val="14"/>
  </w:num>
  <w:num w:numId="14">
    <w:abstractNumId w:val="5"/>
  </w:num>
  <w:num w:numId="15">
    <w:abstractNumId w:val="10"/>
  </w:num>
  <w:num w:numId="16">
    <w:abstractNumId w:val="11"/>
  </w:num>
  <w:num w:numId="17">
    <w:abstractNumId w:val="15"/>
  </w:num>
  <w:num w:numId="18">
    <w:abstractNumId w:val="4"/>
  </w:num>
  <w:num w:numId="19">
    <w:abstractNumId w:val="7"/>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6DF9"/>
    <w:rsid w:val="00687E50"/>
    <w:rsid w:val="00696D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C2700F"/>
  <w15:chartTrackingRefBased/>
  <w15:docId w15:val="{C7B3B7C4-BDC8-4ED6-9120-A04933D8F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4534659">
      <w:bodyDiv w:val="1"/>
      <w:marLeft w:val="0"/>
      <w:marRight w:val="0"/>
      <w:marTop w:val="0"/>
      <w:marBottom w:val="0"/>
      <w:divBdr>
        <w:top w:val="none" w:sz="0" w:space="0" w:color="auto"/>
        <w:left w:val="none" w:sz="0" w:space="0" w:color="auto"/>
        <w:bottom w:val="none" w:sz="0" w:space="0" w:color="auto"/>
        <w:right w:val="none" w:sz="0" w:space="0" w:color="auto"/>
      </w:divBdr>
      <w:divsChild>
        <w:div w:id="2144761879">
          <w:marLeft w:val="0"/>
          <w:marRight w:val="0"/>
          <w:marTop w:val="0"/>
          <w:marBottom w:val="0"/>
          <w:divBdr>
            <w:top w:val="none" w:sz="0" w:space="8" w:color="DDDDDD"/>
            <w:left w:val="none" w:sz="0" w:space="11" w:color="DDDDDD"/>
            <w:bottom w:val="single" w:sz="6" w:space="8" w:color="DDDDDD"/>
            <w:right w:val="none" w:sz="0" w:space="11" w:color="DDDDDD"/>
          </w:divBdr>
        </w:div>
        <w:div w:id="215240742">
          <w:marLeft w:val="0"/>
          <w:marRight w:val="0"/>
          <w:marTop w:val="0"/>
          <w:marBottom w:val="900"/>
          <w:divBdr>
            <w:top w:val="none" w:sz="0" w:space="0" w:color="auto"/>
            <w:left w:val="none" w:sz="0" w:space="0" w:color="auto"/>
            <w:bottom w:val="none" w:sz="0" w:space="0" w:color="auto"/>
            <w:right w:val="none" w:sz="0" w:space="0" w:color="auto"/>
          </w:divBdr>
          <w:divsChild>
            <w:div w:id="1678117011">
              <w:marLeft w:val="225"/>
              <w:marRight w:val="225"/>
              <w:marTop w:val="225"/>
              <w:marBottom w:val="225"/>
              <w:divBdr>
                <w:top w:val="none" w:sz="0" w:space="0" w:color="auto"/>
                <w:left w:val="none" w:sz="0" w:space="0" w:color="auto"/>
                <w:bottom w:val="none" w:sz="0" w:space="0" w:color="auto"/>
                <w:right w:val="none" w:sz="0" w:space="0" w:color="auto"/>
              </w:divBdr>
            </w:div>
          </w:divsChild>
        </w:div>
        <w:div w:id="207109141">
          <w:marLeft w:val="0"/>
          <w:marRight w:val="0"/>
          <w:marTop w:val="0"/>
          <w:marBottom w:val="900"/>
          <w:divBdr>
            <w:top w:val="none" w:sz="0" w:space="0" w:color="auto"/>
            <w:left w:val="none" w:sz="0" w:space="0" w:color="auto"/>
            <w:bottom w:val="none" w:sz="0" w:space="0" w:color="auto"/>
            <w:right w:val="none" w:sz="0" w:space="0" w:color="auto"/>
          </w:divBdr>
          <w:divsChild>
            <w:div w:id="865949946">
              <w:marLeft w:val="225"/>
              <w:marRight w:val="225"/>
              <w:marTop w:val="225"/>
              <w:marBottom w:val="225"/>
              <w:divBdr>
                <w:top w:val="none" w:sz="0" w:space="0" w:color="auto"/>
                <w:left w:val="none" w:sz="0" w:space="0" w:color="auto"/>
                <w:bottom w:val="none" w:sz="0" w:space="0" w:color="auto"/>
                <w:right w:val="none" w:sz="0" w:space="0" w:color="auto"/>
              </w:divBdr>
            </w:div>
          </w:divsChild>
        </w:div>
        <w:div w:id="1986818497">
          <w:marLeft w:val="0"/>
          <w:marRight w:val="0"/>
          <w:marTop w:val="0"/>
          <w:marBottom w:val="900"/>
          <w:divBdr>
            <w:top w:val="none" w:sz="0" w:space="0" w:color="auto"/>
            <w:left w:val="none" w:sz="0" w:space="0" w:color="auto"/>
            <w:bottom w:val="none" w:sz="0" w:space="0" w:color="auto"/>
            <w:right w:val="none" w:sz="0" w:space="0" w:color="auto"/>
          </w:divBdr>
          <w:divsChild>
            <w:div w:id="832061688">
              <w:marLeft w:val="225"/>
              <w:marRight w:val="225"/>
              <w:marTop w:val="225"/>
              <w:marBottom w:val="225"/>
              <w:divBdr>
                <w:top w:val="none" w:sz="0" w:space="0" w:color="auto"/>
                <w:left w:val="none" w:sz="0" w:space="0" w:color="auto"/>
                <w:bottom w:val="none" w:sz="0" w:space="0" w:color="auto"/>
                <w:right w:val="none" w:sz="0" w:space="0" w:color="auto"/>
              </w:divBdr>
            </w:div>
          </w:divsChild>
        </w:div>
        <w:div w:id="699739222">
          <w:marLeft w:val="0"/>
          <w:marRight w:val="0"/>
          <w:marTop w:val="0"/>
          <w:marBottom w:val="900"/>
          <w:divBdr>
            <w:top w:val="none" w:sz="0" w:space="0" w:color="auto"/>
            <w:left w:val="none" w:sz="0" w:space="0" w:color="auto"/>
            <w:bottom w:val="none" w:sz="0" w:space="0" w:color="auto"/>
            <w:right w:val="none" w:sz="0" w:space="0" w:color="auto"/>
          </w:divBdr>
          <w:divsChild>
            <w:div w:id="2114088198">
              <w:marLeft w:val="225"/>
              <w:marRight w:val="225"/>
              <w:marTop w:val="225"/>
              <w:marBottom w:val="225"/>
              <w:divBdr>
                <w:top w:val="none" w:sz="0" w:space="0" w:color="auto"/>
                <w:left w:val="none" w:sz="0" w:space="0" w:color="auto"/>
                <w:bottom w:val="none" w:sz="0" w:space="0" w:color="auto"/>
                <w:right w:val="none" w:sz="0" w:space="0" w:color="auto"/>
              </w:divBdr>
            </w:div>
          </w:divsChild>
        </w:div>
        <w:div w:id="1978561446">
          <w:marLeft w:val="0"/>
          <w:marRight w:val="0"/>
          <w:marTop w:val="0"/>
          <w:marBottom w:val="900"/>
          <w:divBdr>
            <w:top w:val="none" w:sz="0" w:space="0" w:color="auto"/>
            <w:left w:val="none" w:sz="0" w:space="0" w:color="auto"/>
            <w:bottom w:val="none" w:sz="0" w:space="0" w:color="auto"/>
            <w:right w:val="none" w:sz="0" w:space="0" w:color="auto"/>
          </w:divBdr>
          <w:divsChild>
            <w:div w:id="167329766">
              <w:marLeft w:val="225"/>
              <w:marRight w:val="225"/>
              <w:marTop w:val="225"/>
              <w:marBottom w:val="225"/>
              <w:divBdr>
                <w:top w:val="none" w:sz="0" w:space="0" w:color="auto"/>
                <w:left w:val="none" w:sz="0" w:space="0" w:color="auto"/>
                <w:bottom w:val="none" w:sz="0" w:space="0" w:color="auto"/>
                <w:right w:val="none" w:sz="0" w:space="0" w:color="auto"/>
              </w:divBdr>
            </w:div>
          </w:divsChild>
        </w:div>
        <w:div w:id="19092773">
          <w:marLeft w:val="0"/>
          <w:marRight w:val="0"/>
          <w:marTop w:val="0"/>
          <w:marBottom w:val="900"/>
          <w:divBdr>
            <w:top w:val="none" w:sz="0" w:space="0" w:color="auto"/>
            <w:left w:val="none" w:sz="0" w:space="0" w:color="auto"/>
            <w:bottom w:val="none" w:sz="0" w:space="0" w:color="auto"/>
            <w:right w:val="none" w:sz="0" w:space="0" w:color="auto"/>
          </w:divBdr>
          <w:divsChild>
            <w:div w:id="631911644">
              <w:marLeft w:val="225"/>
              <w:marRight w:val="225"/>
              <w:marTop w:val="225"/>
              <w:marBottom w:val="225"/>
              <w:divBdr>
                <w:top w:val="none" w:sz="0" w:space="0" w:color="auto"/>
                <w:left w:val="none" w:sz="0" w:space="0" w:color="auto"/>
                <w:bottom w:val="none" w:sz="0" w:space="0" w:color="auto"/>
                <w:right w:val="none" w:sz="0" w:space="0" w:color="auto"/>
              </w:divBdr>
            </w:div>
          </w:divsChild>
        </w:div>
        <w:div w:id="1185560443">
          <w:marLeft w:val="0"/>
          <w:marRight w:val="0"/>
          <w:marTop w:val="0"/>
          <w:marBottom w:val="900"/>
          <w:divBdr>
            <w:top w:val="none" w:sz="0" w:space="0" w:color="auto"/>
            <w:left w:val="none" w:sz="0" w:space="0" w:color="auto"/>
            <w:bottom w:val="none" w:sz="0" w:space="0" w:color="auto"/>
            <w:right w:val="none" w:sz="0" w:space="0" w:color="auto"/>
          </w:divBdr>
          <w:divsChild>
            <w:div w:id="1353265988">
              <w:marLeft w:val="225"/>
              <w:marRight w:val="225"/>
              <w:marTop w:val="225"/>
              <w:marBottom w:val="225"/>
              <w:divBdr>
                <w:top w:val="none" w:sz="0" w:space="0" w:color="auto"/>
                <w:left w:val="none" w:sz="0" w:space="0" w:color="auto"/>
                <w:bottom w:val="none" w:sz="0" w:space="0" w:color="auto"/>
                <w:right w:val="none" w:sz="0" w:space="0" w:color="auto"/>
              </w:divBdr>
            </w:div>
          </w:divsChild>
        </w:div>
        <w:div w:id="938756164">
          <w:marLeft w:val="0"/>
          <w:marRight w:val="0"/>
          <w:marTop w:val="0"/>
          <w:marBottom w:val="900"/>
          <w:divBdr>
            <w:top w:val="none" w:sz="0" w:space="0" w:color="auto"/>
            <w:left w:val="none" w:sz="0" w:space="0" w:color="auto"/>
            <w:bottom w:val="none" w:sz="0" w:space="0" w:color="auto"/>
            <w:right w:val="none" w:sz="0" w:space="0" w:color="auto"/>
          </w:divBdr>
          <w:divsChild>
            <w:div w:id="244650183">
              <w:marLeft w:val="225"/>
              <w:marRight w:val="225"/>
              <w:marTop w:val="225"/>
              <w:marBottom w:val="225"/>
              <w:divBdr>
                <w:top w:val="none" w:sz="0" w:space="0" w:color="auto"/>
                <w:left w:val="none" w:sz="0" w:space="0" w:color="auto"/>
                <w:bottom w:val="none" w:sz="0" w:space="0" w:color="auto"/>
                <w:right w:val="none" w:sz="0" w:space="0" w:color="auto"/>
              </w:divBdr>
            </w:div>
          </w:divsChild>
        </w:div>
        <w:div w:id="1654407305">
          <w:marLeft w:val="0"/>
          <w:marRight w:val="0"/>
          <w:marTop w:val="0"/>
          <w:marBottom w:val="900"/>
          <w:divBdr>
            <w:top w:val="none" w:sz="0" w:space="0" w:color="auto"/>
            <w:left w:val="none" w:sz="0" w:space="0" w:color="auto"/>
            <w:bottom w:val="none" w:sz="0" w:space="0" w:color="auto"/>
            <w:right w:val="none" w:sz="0" w:space="0" w:color="auto"/>
          </w:divBdr>
          <w:divsChild>
            <w:div w:id="1769690761">
              <w:marLeft w:val="225"/>
              <w:marRight w:val="225"/>
              <w:marTop w:val="225"/>
              <w:marBottom w:val="225"/>
              <w:divBdr>
                <w:top w:val="none" w:sz="0" w:space="0" w:color="auto"/>
                <w:left w:val="none" w:sz="0" w:space="0" w:color="auto"/>
                <w:bottom w:val="none" w:sz="0" w:space="0" w:color="auto"/>
                <w:right w:val="none" w:sz="0" w:space="0" w:color="auto"/>
              </w:divBdr>
            </w:div>
          </w:divsChild>
        </w:div>
        <w:div w:id="1558583955">
          <w:marLeft w:val="0"/>
          <w:marRight w:val="0"/>
          <w:marTop w:val="0"/>
          <w:marBottom w:val="900"/>
          <w:divBdr>
            <w:top w:val="none" w:sz="0" w:space="0" w:color="auto"/>
            <w:left w:val="none" w:sz="0" w:space="0" w:color="auto"/>
            <w:bottom w:val="none" w:sz="0" w:space="0" w:color="auto"/>
            <w:right w:val="none" w:sz="0" w:space="0" w:color="auto"/>
          </w:divBdr>
          <w:divsChild>
            <w:div w:id="2107920405">
              <w:marLeft w:val="225"/>
              <w:marRight w:val="225"/>
              <w:marTop w:val="225"/>
              <w:marBottom w:val="225"/>
              <w:divBdr>
                <w:top w:val="none" w:sz="0" w:space="0" w:color="auto"/>
                <w:left w:val="none" w:sz="0" w:space="0" w:color="auto"/>
                <w:bottom w:val="none" w:sz="0" w:space="0" w:color="auto"/>
                <w:right w:val="none" w:sz="0" w:space="0" w:color="auto"/>
              </w:divBdr>
            </w:div>
          </w:divsChild>
        </w:div>
        <w:div w:id="1077168451">
          <w:marLeft w:val="0"/>
          <w:marRight w:val="0"/>
          <w:marTop w:val="0"/>
          <w:marBottom w:val="900"/>
          <w:divBdr>
            <w:top w:val="none" w:sz="0" w:space="0" w:color="auto"/>
            <w:left w:val="none" w:sz="0" w:space="0" w:color="auto"/>
            <w:bottom w:val="none" w:sz="0" w:space="0" w:color="auto"/>
            <w:right w:val="none" w:sz="0" w:space="0" w:color="auto"/>
          </w:divBdr>
          <w:divsChild>
            <w:div w:id="377702510">
              <w:marLeft w:val="225"/>
              <w:marRight w:val="225"/>
              <w:marTop w:val="225"/>
              <w:marBottom w:val="225"/>
              <w:divBdr>
                <w:top w:val="none" w:sz="0" w:space="0" w:color="auto"/>
                <w:left w:val="none" w:sz="0" w:space="0" w:color="auto"/>
                <w:bottom w:val="none" w:sz="0" w:space="0" w:color="auto"/>
                <w:right w:val="none" w:sz="0" w:space="0" w:color="auto"/>
              </w:divBdr>
            </w:div>
          </w:divsChild>
        </w:div>
        <w:div w:id="453522458">
          <w:marLeft w:val="0"/>
          <w:marRight w:val="0"/>
          <w:marTop w:val="0"/>
          <w:marBottom w:val="900"/>
          <w:divBdr>
            <w:top w:val="none" w:sz="0" w:space="0" w:color="auto"/>
            <w:left w:val="none" w:sz="0" w:space="0" w:color="auto"/>
            <w:bottom w:val="none" w:sz="0" w:space="0" w:color="auto"/>
            <w:right w:val="none" w:sz="0" w:space="0" w:color="auto"/>
          </w:divBdr>
          <w:divsChild>
            <w:div w:id="295375530">
              <w:marLeft w:val="225"/>
              <w:marRight w:val="225"/>
              <w:marTop w:val="225"/>
              <w:marBottom w:val="225"/>
              <w:divBdr>
                <w:top w:val="none" w:sz="0" w:space="0" w:color="auto"/>
                <w:left w:val="none" w:sz="0" w:space="0" w:color="auto"/>
                <w:bottom w:val="none" w:sz="0" w:space="0" w:color="auto"/>
                <w:right w:val="none" w:sz="0" w:space="0" w:color="auto"/>
              </w:divBdr>
            </w:div>
          </w:divsChild>
        </w:div>
        <w:div w:id="1421440309">
          <w:marLeft w:val="0"/>
          <w:marRight w:val="0"/>
          <w:marTop w:val="0"/>
          <w:marBottom w:val="900"/>
          <w:divBdr>
            <w:top w:val="none" w:sz="0" w:space="0" w:color="auto"/>
            <w:left w:val="none" w:sz="0" w:space="0" w:color="auto"/>
            <w:bottom w:val="none" w:sz="0" w:space="0" w:color="auto"/>
            <w:right w:val="none" w:sz="0" w:space="0" w:color="auto"/>
          </w:divBdr>
          <w:divsChild>
            <w:div w:id="562985314">
              <w:marLeft w:val="225"/>
              <w:marRight w:val="225"/>
              <w:marTop w:val="225"/>
              <w:marBottom w:val="225"/>
              <w:divBdr>
                <w:top w:val="none" w:sz="0" w:space="0" w:color="auto"/>
                <w:left w:val="none" w:sz="0" w:space="0" w:color="auto"/>
                <w:bottom w:val="none" w:sz="0" w:space="0" w:color="auto"/>
                <w:right w:val="none" w:sz="0" w:space="0" w:color="auto"/>
              </w:divBdr>
            </w:div>
          </w:divsChild>
        </w:div>
        <w:div w:id="665789691">
          <w:marLeft w:val="0"/>
          <w:marRight w:val="0"/>
          <w:marTop w:val="0"/>
          <w:marBottom w:val="900"/>
          <w:divBdr>
            <w:top w:val="none" w:sz="0" w:space="0" w:color="auto"/>
            <w:left w:val="none" w:sz="0" w:space="0" w:color="auto"/>
            <w:bottom w:val="none" w:sz="0" w:space="0" w:color="auto"/>
            <w:right w:val="none" w:sz="0" w:space="0" w:color="auto"/>
          </w:divBdr>
          <w:divsChild>
            <w:div w:id="1833570339">
              <w:marLeft w:val="225"/>
              <w:marRight w:val="225"/>
              <w:marTop w:val="225"/>
              <w:marBottom w:val="225"/>
              <w:divBdr>
                <w:top w:val="none" w:sz="0" w:space="0" w:color="auto"/>
                <w:left w:val="none" w:sz="0" w:space="0" w:color="auto"/>
                <w:bottom w:val="none" w:sz="0" w:space="0" w:color="auto"/>
                <w:right w:val="none" w:sz="0" w:space="0" w:color="auto"/>
              </w:divBdr>
            </w:div>
          </w:divsChild>
        </w:div>
        <w:div w:id="776099511">
          <w:marLeft w:val="0"/>
          <w:marRight w:val="0"/>
          <w:marTop w:val="0"/>
          <w:marBottom w:val="900"/>
          <w:divBdr>
            <w:top w:val="none" w:sz="0" w:space="0" w:color="auto"/>
            <w:left w:val="none" w:sz="0" w:space="0" w:color="auto"/>
            <w:bottom w:val="none" w:sz="0" w:space="0" w:color="auto"/>
            <w:right w:val="none" w:sz="0" w:space="0" w:color="auto"/>
          </w:divBdr>
          <w:divsChild>
            <w:div w:id="1808668051">
              <w:marLeft w:val="225"/>
              <w:marRight w:val="225"/>
              <w:marTop w:val="225"/>
              <w:marBottom w:val="225"/>
              <w:divBdr>
                <w:top w:val="none" w:sz="0" w:space="0" w:color="auto"/>
                <w:left w:val="none" w:sz="0" w:space="0" w:color="auto"/>
                <w:bottom w:val="none" w:sz="0" w:space="0" w:color="auto"/>
                <w:right w:val="none" w:sz="0" w:space="0" w:color="auto"/>
              </w:divBdr>
            </w:div>
          </w:divsChild>
        </w:div>
        <w:div w:id="336932626">
          <w:marLeft w:val="0"/>
          <w:marRight w:val="0"/>
          <w:marTop w:val="0"/>
          <w:marBottom w:val="900"/>
          <w:divBdr>
            <w:top w:val="none" w:sz="0" w:space="0" w:color="auto"/>
            <w:left w:val="none" w:sz="0" w:space="0" w:color="auto"/>
            <w:bottom w:val="none" w:sz="0" w:space="0" w:color="auto"/>
            <w:right w:val="none" w:sz="0" w:space="0" w:color="auto"/>
          </w:divBdr>
          <w:divsChild>
            <w:div w:id="846095824">
              <w:marLeft w:val="225"/>
              <w:marRight w:val="225"/>
              <w:marTop w:val="225"/>
              <w:marBottom w:val="225"/>
              <w:divBdr>
                <w:top w:val="none" w:sz="0" w:space="0" w:color="auto"/>
                <w:left w:val="none" w:sz="0" w:space="0" w:color="auto"/>
                <w:bottom w:val="none" w:sz="0" w:space="0" w:color="auto"/>
                <w:right w:val="none" w:sz="0" w:space="0" w:color="auto"/>
              </w:divBdr>
            </w:div>
          </w:divsChild>
        </w:div>
        <w:div w:id="1566259395">
          <w:marLeft w:val="0"/>
          <w:marRight w:val="0"/>
          <w:marTop w:val="0"/>
          <w:marBottom w:val="900"/>
          <w:divBdr>
            <w:top w:val="none" w:sz="0" w:space="0" w:color="auto"/>
            <w:left w:val="none" w:sz="0" w:space="0" w:color="auto"/>
            <w:bottom w:val="none" w:sz="0" w:space="0" w:color="auto"/>
            <w:right w:val="none" w:sz="0" w:space="0" w:color="auto"/>
          </w:divBdr>
          <w:divsChild>
            <w:div w:id="1650861711">
              <w:marLeft w:val="225"/>
              <w:marRight w:val="225"/>
              <w:marTop w:val="225"/>
              <w:marBottom w:val="225"/>
              <w:divBdr>
                <w:top w:val="none" w:sz="0" w:space="0" w:color="auto"/>
                <w:left w:val="none" w:sz="0" w:space="0" w:color="auto"/>
                <w:bottom w:val="none" w:sz="0" w:space="0" w:color="auto"/>
                <w:right w:val="none" w:sz="0" w:space="0" w:color="auto"/>
              </w:divBdr>
            </w:div>
          </w:divsChild>
        </w:div>
        <w:div w:id="192235446">
          <w:marLeft w:val="0"/>
          <w:marRight w:val="0"/>
          <w:marTop w:val="0"/>
          <w:marBottom w:val="900"/>
          <w:divBdr>
            <w:top w:val="none" w:sz="0" w:space="0" w:color="auto"/>
            <w:left w:val="none" w:sz="0" w:space="0" w:color="auto"/>
            <w:bottom w:val="none" w:sz="0" w:space="0" w:color="auto"/>
            <w:right w:val="none" w:sz="0" w:space="0" w:color="auto"/>
          </w:divBdr>
          <w:divsChild>
            <w:div w:id="1691486339">
              <w:marLeft w:val="225"/>
              <w:marRight w:val="225"/>
              <w:marTop w:val="225"/>
              <w:marBottom w:val="225"/>
              <w:divBdr>
                <w:top w:val="none" w:sz="0" w:space="0" w:color="auto"/>
                <w:left w:val="none" w:sz="0" w:space="0" w:color="auto"/>
                <w:bottom w:val="none" w:sz="0" w:space="0" w:color="auto"/>
                <w:right w:val="none" w:sz="0" w:space="0" w:color="auto"/>
              </w:divBdr>
            </w:div>
          </w:divsChild>
        </w:div>
        <w:div w:id="630868497">
          <w:marLeft w:val="0"/>
          <w:marRight w:val="0"/>
          <w:marTop w:val="0"/>
          <w:marBottom w:val="900"/>
          <w:divBdr>
            <w:top w:val="none" w:sz="0" w:space="0" w:color="auto"/>
            <w:left w:val="none" w:sz="0" w:space="0" w:color="auto"/>
            <w:bottom w:val="none" w:sz="0" w:space="0" w:color="auto"/>
            <w:right w:val="none" w:sz="0" w:space="0" w:color="auto"/>
          </w:divBdr>
          <w:divsChild>
            <w:div w:id="233510951">
              <w:marLeft w:val="225"/>
              <w:marRight w:val="225"/>
              <w:marTop w:val="225"/>
              <w:marBottom w:val="225"/>
              <w:divBdr>
                <w:top w:val="none" w:sz="0" w:space="0" w:color="auto"/>
                <w:left w:val="none" w:sz="0" w:space="0" w:color="auto"/>
                <w:bottom w:val="none" w:sz="0" w:space="0" w:color="auto"/>
                <w:right w:val="none" w:sz="0" w:space="0" w:color="auto"/>
              </w:divBdr>
            </w:div>
          </w:divsChild>
        </w:div>
        <w:div w:id="1390347176">
          <w:marLeft w:val="0"/>
          <w:marRight w:val="0"/>
          <w:marTop w:val="0"/>
          <w:marBottom w:val="900"/>
          <w:divBdr>
            <w:top w:val="none" w:sz="0" w:space="0" w:color="auto"/>
            <w:left w:val="none" w:sz="0" w:space="0" w:color="auto"/>
            <w:bottom w:val="none" w:sz="0" w:space="0" w:color="auto"/>
            <w:right w:val="none" w:sz="0" w:space="0" w:color="auto"/>
          </w:divBdr>
          <w:divsChild>
            <w:div w:id="1257207034">
              <w:marLeft w:val="225"/>
              <w:marRight w:val="225"/>
              <w:marTop w:val="225"/>
              <w:marBottom w:val="225"/>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2306</Words>
  <Characters>13145</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Alina</dc:creator>
  <cp:keywords/>
  <dc:description/>
  <cp:lastModifiedBy>Alina</cp:lastModifiedBy>
  <cp:revision>1</cp:revision>
  <dcterms:created xsi:type="dcterms:W3CDTF">2019-11-03T19:00:00Z</dcterms:created>
  <dcterms:modified xsi:type="dcterms:W3CDTF">2019-11-03T19:01:00Z</dcterms:modified>
</cp:coreProperties>
</file>